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  <w:t>沈阳再生资源产业园（B园）控制性详细规划修编（2023-2035年）环境影响报告书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第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一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次公示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沈阳再生资源产业园（B园）控制性详细规划修编（2023-2035年）环境影响评价工作由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沈阳启隆环保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科技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 xml:space="preserve">开发有限公司承担，现向公众公开其有关环境影响评价信息，具体如下： 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(一)规划的名称及概况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规划名称：沈阳再生资源产业园（B园）控制性详细规划修编（2023-2035年）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规划范围：规划区位于近海经济区南部，北至沈辽公路，东接规划公铁海联运物流枢纽产业园，西邻近海核心板块，总用地面积约2.6平方公里。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规划期限：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202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年—203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年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规划目标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：以绿色低碳、科技创新为导向，以推进开发区转型升级为目标，全面建设低碳循环经济聚集区、环保产业创新新高地、环保信息交流服务新平台。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(二)规划实施单位和联系方式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规划实施单位：沈阳近海经济区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管理委员会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联系人:辛博宇</w:t>
      </w:r>
    </w:p>
    <w:p>
      <w:pPr>
        <w:spacing w:line="360" w:lineRule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 xml:space="preserve">联系方式: </w:t>
      </w:r>
      <w:r>
        <w:rPr>
          <w:rFonts w:hint="default" w:ascii="Times New Roman" w:hAnsi="Times New Roman" w:cs="Times New Roman"/>
          <w:sz w:val="24"/>
          <w:szCs w:val="24"/>
        </w:rPr>
        <w:t>024-87860812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环境影响报告书编制单位名称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沈阳启隆环保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科技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开发有限公司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(四)公众意见表的网络链接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见附件。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(五)提交公众意见表的方式和途径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eastAsia="zh-CN"/>
        </w:rPr>
        <w:t>邮箱: xmfwcsyjhjjq-lzq@shenyang.gov.cn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3AC92"/>
    <w:multiLevelType w:val="singleLevel"/>
    <w:tmpl w:val="49A3AC92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Mjg4MzI2NjBmOWUzZDg0NDM1MDg1ZTIyYmFhM2QifQ=="/>
  </w:docVars>
  <w:rsids>
    <w:rsidRoot w:val="0092400F"/>
    <w:rsid w:val="00155AD9"/>
    <w:rsid w:val="00223934"/>
    <w:rsid w:val="002B1875"/>
    <w:rsid w:val="003C6130"/>
    <w:rsid w:val="005C483B"/>
    <w:rsid w:val="00623750"/>
    <w:rsid w:val="007A23AD"/>
    <w:rsid w:val="008B790D"/>
    <w:rsid w:val="0092400F"/>
    <w:rsid w:val="00A74273"/>
    <w:rsid w:val="00D469C3"/>
    <w:rsid w:val="00EE689A"/>
    <w:rsid w:val="00F96BEB"/>
    <w:rsid w:val="21D274D1"/>
    <w:rsid w:val="23C62317"/>
    <w:rsid w:val="388E07FF"/>
    <w:rsid w:val="391F25C7"/>
    <w:rsid w:val="41243B53"/>
    <w:rsid w:val="46A53F0C"/>
    <w:rsid w:val="4AB543F3"/>
    <w:rsid w:val="620F1696"/>
    <w:rsid w:val="64730E9C"/>
    <w:rsid w:val="69D86C88"/>
    <w:rsid w:val="76D639F9"/>
    <w:rsid w:val="7705322E"/>
    <w:rsid w:val="78AB0354"/>
    <w:rsid w:val="7A7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qFormat/>
    <w:uiPriority w:val="99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480</Characters>
  <Lines>5</Lines>
  <Paragraphs>1</Paragraphs>
  <TotalTime>1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2022-05-05T02:43:00Z</dcterms:created>
  <dc:creator>ThinkStation</dc:creator>
  <cp:lastModifiedBy>Administrator</cp:lastModifiedBy>
  <dcterms:modified xsi:type="dcterms:W3CDTF">2023-05-24T01:36:46Z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832C60B658714BEF96312993C2BA9619_13</vt:lpwstr>
  </property>
</Properties>
</file>