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hint="eastAsia" w:ascii="黑体" w:hAnsi="黑体" w:eastAsia="黑体" w:cs="Times New Roman"/>
          <w:b/>
          <w:color w:val="000000" w:themeColor="text1"/>
          <w:sz w:val="40"/>
          <w:szCs w:val="28"/>
          <w:lang w:val="en-US" w:eastAsia="zh-CN"/>
        </w:rPr>
      </w:pPr>
      <w:r>
        <w:rPr>
          <w:rStyle w:val="17"/>
          <w:rFonts w:hint="eastAsia" w:ascii="黑体" w:hAnsi="黑体" w:eastAsia="黑体" w:cs="Times New Roman"/>
          <w:b/>
          <w:color w:val="000000" w:themeColor="text1"/>
          <w:sz w:val="40"/>
          <w:szCs w:val="28"/>
        </w:rPr>
        <w:t>辽中区畜禽养殖</w:t>
      </w:r>
      <w:r>
        <w:rPr>
          <w:rStyle w:val="17"/>
          <w:rFonts w:hint="eastAsia" w:ascii="黑体" w:hAnsi="黑体" w:eastAsia="黑体" w:cs="Times New Roman"/>
          <w:b/>
          <w:color w:val="000000" w:themeColor="text1"/>
          <w:sz w:val="40"/>
          <w:szCs w:val="28"/>
          <w:lang w:eastAsia="zh-CN"/>
        </w:rPr>
        <w:t>废弃物</w:t>
      </w:r>
      <w:r>
        <w:rPr>
          <w:rStyle w:val="17"/>
          <w:rFonts w:hint="eastAsia" w:ascii="黑体" w:hAnsi="黑体" w:eastAsia="黑体" w:cs="Times New Roman"/>
          <w:b/>
          <w:color w:val="000000" w:themeColor="text1"/>
          <w:sz w:val="40"/>
          <w:szCs w:val="28"/>
        </w:rPr>
        <w:t>污染防治管理</w:t>
      </w:r>
      <w:r>
        <w:rPr>
          <w:rStyle w:val="17"/>
          <w:rFonts w:hint="eastAsia" w:ascii="黑体" w:hAnsi="黑体" w:eastAsia="黑体" w:cs="Times New Roman"/>
          <w:b/>
          <w:color w:val="000000" w:themeColor="text1"/>
          <w:sz w:val="40"/>
          <w:szCs w:val="28"/>
          <w:lang w:eastAsia="zh-CN"/>
        </w:rPr>
        <w:t>办法</w:t>
      </w:r>
    </w:p>
    <w:p>
      <w:pPr>
        <w:spacing w:before="156" w:beforeLines="50" w:after="156" w:afterLines="50" w:line="360" w:lineRule="auto"/>
        <w:jc w:val="center"/>
        <w:rPr>
          <w:rStyle w:val="17"/>
          <w:rFonts w:hint="eastAsia" w:ascii="黑体" w:hAnsi="黑体" w:eastAsia="黑体" w:cs="Times New Roman"/>
          <w:b/>
          <w:color w:val="000000" w:themeColor="text1"/>
          <w:sz w:val="28"/>
          <w:szCs w:val="28"/>
          <w:lang w:eastAsia="zh-CN"/>
        </w:rPr>
      </w:pPr>
      <w:r>
        <w:rPr>
          <w:rStyle w:val="17"/>
          <w:rFonts w:hint="eastAsia" w:ascii="黑体" w:hAnsi="黑体" w:eastAsia="黑体" w:cs="Times New Roman"/>
          <w:b/>
          <w:color w:val="000000" w:themeColor="text1"/>
          <w:sz w:val="28"/>
          <w:szCs w:val="28"/>
          <w:lang w:eastAsia="zh-CN"/>
        </w:rPr>
        <w:t>（第二稿）</w:t>
      </w: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spacing w:before="156" w:beforeLines="50" w:after="156" w:afterLines="50" w:line="360" w:lineRule="auto"/>
        <w:jc w:val="center"/>
        <w:rPr>
          <w:rStyle w:val="17"/>
          <w:rFonts w:ascii="黑体" w:hAnsi="黑体" w:eastAsia="黑体" w:cs="Times New Roman"/>
          <w:b/>
          <w:color w:val="000000" w:themeColor="text1"/>
          <w:sz w:val="28"/>
          <w:szCs w:val="28"/>
        </w:rPr>
      </w:pPr>
    </w:p>
    <w:p>
      <w:pPr>
        <w:widowControl/>
        <w:spacing w:line="360" w:lineRule="auto"/>
        <w:jc w:val="center"/>
        <w:rPr>
          <w:rStyle w:val="17"/>
          <w:rFonts w:ascii="Arial" w:hAnsi="Arial" w:eastAsia="黑体" w:cs="Arial"/>
          <w:b/>
          <w:color w:val="000000" w:themeColor="text1"/>
          <w:sz w:val="28"/>
          <w:szCs w:val="28"/>
        </w:rPr>
      </w:pPr>
      <w:r>
        <w:rPr>
          <w:rStyle w:val="17"/>
          <w:rFonts w:ascii="Arial" w:hAnsi="Arial" w:eastAsia="黑体" w:cs="Arial"/>
          <w:b/>
          <w:color w:val="000000" w:themeColor="text1"/>
          <w:sz w:val="28"/>
          <w:szCs w:val="28"/>
        </w:rPr>
        <w:t>202</w:t>
      </w:r>
      <w:r>
        <w:rPr>
          <w:rStyle w:val="17"/>
          <w:rFonts w:hint="eastAsia" w:ascii="Arial" w:hAnsi="Arial" w:eastAsia="黑体" w:cs="Arial"/>
          <w:b/>
          <w:color w:val="000000" w:themeColor="text1"/>
          <w:sz w:val="28"/>
          <w:szCs w:val="28"/>
          <w:lang w:val="en-US" w:eastAsia="zh-CN"/>
        </w:rPr>
        <w:t>3</w:t>
      </w:r>
      <w:r>
        <w:rPr>
          <w:rStyle w:val="17"/>
          <w:rFonts w:ascii="Arial" w:hAnsi="Arial" w:eastAsia="黑体" w:cs="Arial"/>
          <w:b/>
          <w:color w:val="000000" w:themeColor="text1"/>
          <w:sz w:val="28"/>
          <w:szCs w:val="28"/>
        </w:rPr>
        <w:t>年</w:t>
      </w:r>
      <w:r>
        <w:rPr>
          <w:rStyle w:val="17"/>
          <w:rFonts w:hint="eastAsia" w:ascii="Arial" w:hAnsi="Arial" w:eastAsia="黑体" w:cs="Arial"/>
          <w:b/>
          <w:color w:val="000000" w:themeColor="text1"/>
          <w:sz w:val="28"/>
          <w:szCs w:val="28"/>
          <w:lang w:val="en-US" w:eastAsia="zh-CN"/>
        </w:rPr>
        <w:t>5</w:t>
      </w:r>
      <w:r>
        <w:rPr>
          <w:rStyle w:val="17"/>
          <w:rFonts w:ascii="Arial" w:hAnsi="Arial" w:eastAsia="黑体" w:cs="Arial"/>
          <w:b/>
          <w:color w:val="000000" w:themeColor="text1"/>
          <w:sz w:val="28"/>
          <w:szCs w:val="28"/>
        </w:rPr>
        <w:t>月</w:t>
      </w:r>
    </w:p>
    <w:p>
      <w:pPr>
        <w:widowControl/>
        <w:jc w:val="left"/>
        <w:rPr>
          <w:rStyle w:val="17"/>
          <w:rFonts w:ascii="黑体" w:hAnsi="黑体" w:eastAsia="黑体" w:cs="Times New Roman"/>
          <w:b/>
          <w:color w:val="000000" w:themeColor="text1"/>
          <w:sz w:val="28"/>
          <w:szCs w:val="28"/>
        </w:rPr>
      </w:pPr>
      <w:r>
        <w:rPr>
          <w:rStyle w:val="17"/>
          <w:rFonts w:ascii="黑体" w:hAnsi="黑体" w:eastAsia="黑体" w:cs="Times New Roman"/>
          <w:b/>
          <w:color w:val="000000" w:themeColor="text1"/>
          <w:sz w:val="28"/>
          <w:szCs w:val="28"/>
        </w:rPr>
        <w:br w:type="page"/>
      </w:r>
    </w:p>
    <w:sdt>
      <w:sdtPr>
        <w:rPr>
          <w:lang w:val="zh-CN"/>
        </w:rPr>
        <w:id w:val="-1543205745"/>
        <w:showingPlcHdr/>
        <w:docPartObj>
          <w:docPartGallery w:val="Table of Contents"/>
          <w:docPartUnique/>
        </w:docPartObj>
      </w:sdtPr>
      <w:sdtEndPr>
        <w:rPr>
          <w:rFonts w:ascii="仿宋" w:hAnsi="仿宋" w:eastAsia="仿宋"/>
          <w:b/>
          <w:bCs/>
          <w:lang w:val="zh-CN"/>
        </w:rPr>
      </w:sdtEndPr>
      <w:sdtContent>
        <w:p>
          <w:pPr>
            <w:widowControl/>
            <w:spacing w:line="360" w:lineRule="atLeast"/>
            <w:ind w:firstLine="480"/>
            <w:jc w:val="left"/>
            <w:rPr>
              <w:rFonts w:ascii="Arial" w:hAnsi="Arial" w:eastAsia="宋体" w:cs="Arial"/>
              <w:color w:val="333333"/>
              <w:kern w:val="0"/>
              <w:szCs w:val="21"/>
            </w:rPr>
          </w:pPr>
        </w:p>
      </w:sdtContent>
    </w:sdt>
    <w:p>
      <w:pPr>
        <w:pStyle w:val="2"/>
      </w:pPr>
      <w:bookmarkStart w:id="0" w:name="_Toc70503479"/>
      <w:r>
        <w:t>第一章 总则</w:t>
      </w:r>
      <w:bookmarkEnd w:id="0"/>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第一条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为</w:t>
      </w:r>
      <w:r>
        <w:rPr>
          <w:rFonts w:hint="eastAsia" w:ascii="宋体" w:hAnsi="宋体" w:eastAsia="宋体" w:cs="宋体"/>
          <w:color w:val="333333"/>
          <w:kern w:val="0"/>
          <w:sz w:val="24"/>
          <w:szCs w:val="24"/>
        </w:rPr>
        <w:t>加强我区畜禽规模养殖</w:t>
      </w:r>
      <w:r>
        <w:rPr>
          <w:rFonts w:hint="eastAsia" w:ascii="宋体" w:hAnsi="宋体" w:eastAsia="宋体" w:cs="宋体"/>
          <w:color w:val="333333"/>
          <w:kern w:val="0"/>
          <w:sz w:val="24"/>
          <w:szCs w:val="24"/>
          <w:lang w:eastAsia="zh-CN"/>
        </w:rPr>
        <w:t>废弃物</w:t>
      </w:r>
      <w:r>
        <w:rPr>
          <w:rFonts w:hint="eastAsia" w:ascii="宋体" w:hAnsi="宋体" w:eastAsia="宋体" w:cs="宋体"/>
          <w:color w:val="333333"/>
          <w:kern w:val="0"/>
          <w:sz w:val="24"/>
          <w:szCs w:val="24"/>
        </w:rPr>
        <w:t>污染防治工作</w:t>
      </w:r>
      <w:r>
        <w:rPr>
          <w:rFonts w:ascii="Arial" w:hAnsi="Arial" w:eastAsia="宋体" w:cs="Arial"/>
          <w:color w:val="333333"/>
          <w:kern w:val="0"/>
          <w:sz w:val="24"/>
          <w:szCs w:val="24"/>
        </w:rPr>
        <w:t>，推进畜禽养殖废弃物无害化处理和综合利用，保护和改善生态环境，促进畜禽养殖业绿色发展，根据</w:t>
      </w:r>
      <w:r>
        <w:rPr>
          <w:rFonts w:hint="eastAsia" w:ascii="Arial" w:hAnsi="Arial" w:eastAsia="宋体" w:cs="Arial"/>
          <w:color w:val="333333"/>
          <w:kern w:val="0"/>
          <w:sz w:val="24"/>
          <w:szCs w:val="24"/>
          <w:lang w:eastAsia="zh-CN"/>
        </w:rPr>
        <w:t>《中华人民共和国民法典》</w:t>
      </w:r>
      <w:r>
        <w:rPr>
          <w:rFonts w:hint="eastAsia" w:ascii="宋体" w:hAnsi="宋体" w:eastAsia="宋体" w:cs="宋体"/>
          <w:color w:val="333333"/>
          <w:kern w:val="0"/>
          <w:sz w:val="24"/>
          <w:szCs w:val="24"/>
        </w:rPr>
        <w:t>《中华人民共和国环境保护法》《中华人民共和国水污染防治法》《中华人民共和国畜牧法》《中华人民共和国动物防疫法》《畜禽规模养殖污染防治规定》（国务院令第643号）、《国务院关于印发水污染防治行动计划的通知》（国发〔2015〕17号）等法律法规和规定，结合我区实际，制定本</w:t>
      </w:r>
      <w:r>
        <w:rPr>
          <w:rFonts w:hint="eastAsia" w:ascii="宋体" w:hAnsi="宋体" w:eastAsia="宋体" w:cs="宋体"/>
          <w:color w:val="333333"/>
          <w:kern w:val="0"/>
          <w:sz w:val="24"/>
          <w:szCs w:val="24"/>
          <w:lang w:eastAsia="zh-CN"/>
        </w:rPr>
        <w:t>办法</w:t>
      </w:r>
      <w:r>
        <w:rPr>
          <w:rFonts w:hint="eastAsia" w:ascii="宋体" w:hAnsi="宋体" w:eastAsia="宋体" w:cs="宋体"/>
          <w:color w:val="333333"/>
          <w:kern w:val="0"/>
          <w:sz w:val="24"/>
          <w:szCs w:val="24"/>
        </w:rPr>
        <w:t>。</w:t>
      </w:r>
    </w:p>
    <w:p>
      <w:pPr>
        <w:widowControl/>
        <w:spacing w:line="360" w:lineRule="auto"/>
        <w:ind w:firstLine="480" w:firstLineChars="200"/>
        <w:contextualSpacing/>
        <w:jc w:val="left"/>
        <w:rPr>
          <w:rFonts w:ascii="Arial" w:hAnsi="Arial" w:eastAsia="宋体" w:cs="Arial"/>
          <w:color w:val="333333"/>
          <w:kern w:val="0"/>
          <w:sz w:val="24"/>
          <w:szCs w:val="24"/>
        </w:rPr>
      </w:pP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第二条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本</w:t>
      </w:r>
      <w:r>
        <w:rPr>
          <w:rFonts w:hint="eastAsia" w:ascii="Arial" w:hAnsi="Arial" w:eastAsia="宋体" w:cs="Arial"/>
          <w:color w:val="333333"/>
          <w:kern w:val="0"/>
          <w:sz w:val="24"/>
          <w:szCs w:val="24"/>
          <w:lang w:eastAsia="zh-CN"/>
        </w:rPr>
        <w:t>办法</w:t>
      </w:r>
      <w:r>
        <w:rPr>
          <w:rFonts w:ascii="Arial" w:hAnsi="Arial" w:eastAsia="宋体" w:cs="Arial"/>
          <w:color w:val="333333"/>
          <w:kern w:val="0"/>
          <w:sz w:val="24"/>
          <w:szCs w:val="24"/>
        </w:rPr>
        <w:t>所称畜禽养殖</w:t>
      </w:r>
      <w:r>
        <w:rPr>
          <w:rFonts w:hint="eastAsia" w:ascii="Arial" w:hAnsi="Arial" w:eastAsia="宋体" w:cs="Arial"/>
          <w:color w:val="333333"/>
          <w:kern w:val="0"/>
          <w:sz w:val="24"/>
          <w:szCs w:val="24"/>
          <w:lang w:eastAsia="zh-CN"/>
        </w:rPr>
        <w:t>废弃物</w:t>
      </w:r>
      <w:r>
        <w:rPr>
          <w:rFonts w:ascii="Arial" w:hAnsi="Arial" w:eastAsia="宋体" w:cs="Arial"/>
          <w:color w:val="333333"/>
          <w:kern w:val="0"/>
          <w:sz w:val="24"/>
          <w:szCs w:val="24"/>
        </w:rPr>
        <w:t>污染，是指畜禽养殖产生的粪便、</w:t>
      </w:r>
      <w:r>
        <w:rPr>
          <w:rFonts w:hint="eastAsia" w:ascii="Arial" w:hAnsi="Arial" w:eastAsia="宋体" w:cs="Arial"/>
          <w:color w:val="333333"/>
          <w:kern w:val="0"/>
          <w:sz w:val="24"/>
          <w:szCs w:val="24"/>
        </w:rPr>
        <w:t>尿液</w:t>
      </w:r>
      <w:r>
        <w:rPr>
          <w:rFonts w:ascii="Arial" w:hAnsi="Arial" w:eastAsia="宋体" w:cs="Arial"/>
          <w:color w:val="333333"/>
          <w:kern w:val="0"/>
          <w:sz w:val="24"/>
          <w:szCs w:val="24"/>
        </w:rPr>
        <w:t>畜禽尸体</w:t>
      </w:r>
      <w:r>
        <w:rPr>
          <w:rFonts w:hint="eastAsia" w:ascii="Arial" w:hAnsi="Arial" w:eastAsia="宋体" w:cs="Arial"/>
          <w:color w:val="333333"/>
          <w:kern w:val="0"/>
          <w:sz w:val="24"/>
          <w:szCs w:val="24"/>
          <w:lang w:eastAsia="zh-CN"/>
        </w:rPr>
        <w:t>及畜舍垫料、散落的毛羽及清洗动物身体、饲养场地器具所产生的污水等对环境造成的危害和破坏。</w:t>
      </w:r>
      <w:r>
        <w:rPr>
          <w:rFonts w:ascii="Arial" w:hAnsi="Arial" w:eastAsia="宋体" w:cs="Arial"/>
          <w:color w:val="333333"/>
          <w:kern w:val="0"/>
          <w:sz w:val="24"/>
          <w:szCs w:val="24"/>
        </w:rPr>
        <w:t>等对环境造成的危害和破坏。</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本</w:t>
      </w:r>
      <w:r>
        <w:rPr>
          <w:rFonts w:hint="eastAsia" w:ascii="Arial" w:hAnsi="Arial" w:eastAsia="宋体" w:cs="Arial"/>
          <w:color w:val="333333"/>
          <w:kern w:val="0"/>
          <w:sz w:val="24"/>
          <w:szCs w:val="24"/>
          <w:lang w:eastAsia="zh-CN"/>
        </w:rPr>
        <w:t>办法</w:t>
      </w:r>
      <w:r>
        <w:rPr>
          <w:rFonts w:hint="eastAsia" w:ascii="Arial" w:hAnsi="Arial" w:eastAsia="宋体" w:cs="Arial"/>
          <w:color w:val="333333"/>
          <w:kern w:val="0"/>
          <w:sz w:val="24"/>
          <w:szCs w:val="24"/>
        </w:rPr>
        <w:t>适用于本区行政区域内畜禽规模养殖场、养殖小区及</w:t>
      </w:r>
      <w:r>
        <w:rPr>
          <w:rFonts w:ascii="Arial" w:hAnsi="Arial" w:eastAsia="宋体" w:cs="Arial"/>
          <w:color w:val="333333"/>
          <w:kern w:val="0"/>
          <w:sz w:val="24"/>
          <w:szCs w:val="24"/>
        </w:rPr>
        <w:t>小规模养殖户</w:t>
      </w:r>
      <w:r>
        <w:rPr>
          <w:rFonts w:hint="eastAsia" w:ascii="Arial" w:hAnsi="Arial" w:eastAsia="宋体" w:cs="Arial"/>
          <w:color w:val="333333"/>
          <w:kern w:val="0"/>
          <w:sz w:val="24"/>
          <w:szCs w:val="24"/>
        </w:rPr>
        <w:t>的污染防治。养殖场、养殖小区是指达到本规定第三条中养殖规模标准的畜禽集中饲养场所。</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本</w:t>
      </w:r>
      <w:r>
        <w:rPr>
          <w:rFonts w:hint="eastAsia" w:ascii="Arial" w:hAnsi="Arial" w:eastAsia="宋体" w:cs="Arial"/>
          <w:color w:val="333333"/>
          <w:kern w:val="0"/>
          <w:sz w:val="24"/>
          <w:szCs w:val="24"/>
          <w:lang w:eastAsia="zh-CN"/>
        </w:rPr>
        <w:t>办法</w:t>
      </w:r>
      <w:r>
        <w:rPr>
          <w:rFonts w:hint="eastAsia" w:ascii="Arial" w:hAnsi="Arial" w:eastAsia="宋体" w:cs="Arial"/>
          <w:color w:val="333333"/>
          <w:kern w:val="0"/>
          <w:sz w:val="24"/>
          <w:szCs w:val="24"/>
        </w:rPr>
        <w:t>所称规模化养殖是指经批准，合法建设的养殖场（小区）。</w:t>
      </w:r>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第三条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本</w:t>
      </w:r>
      <w:r>
        <w:rPr>
          <w:rFonts w:hint="eastAsia" w:ascii="Arial" w:hAnsi="Arial" w:eastAsia="宋体" w:cs="Arial"/>
          <w:color w:val="333333"/>
          <w:kern w:val="0"/>
          <w:sz w:val="24"/>
          <w:szCs w:val="24"/>
          <w:lang w:eastAsia="zh-CN"/>
        </w:rPr>
        <w:t>办法</w:t>
      </w:r>
      <w:r>
        <w:rPr>
          <w:rFonts w:hint="eastAsia" w:ascii="宋体" w:hAnsi="宋体" w:eastAsia="宋体" w:cs="宋体"/>
          <w:color w:val="333333"/>
          <w:kern w:val="0"/>
          <w:sz w:val="24"/>
          <w:szCs w:val="24"/>
        </w:rPr>
        <w:t>单一品种畜禽养殖规模的划分标准如下：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09"/>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widowControl/>
              <w:spacing w:line="360" w:lineRule="auto"/>
              <w:contextualSpacing/>
              <w:jc w:val="center"/>
              <w:rPr>
                <w:rFonts w:ascii="Arial" w:hAnsi="Arial" w:eastAsia="宋体" w:cs="Arial"/>
                <w:color w:val="333333"/>
                <w:kern w:val="0"/>
                <w:szCs w:val="21"/>
              </w:rPr>
            </w:pPr>
            <w:r>
              <w:rPr>
                <w:rFonts w:hint="eastAsia" w:ascii="Arial" w:hAnsi="Arial" w:eastAsia="宋体" w:cs="Arial"/>
                <w:color w:val="333333"/>
                <w:kern w:val="0"/>
                <w:szCs w:val="21"/>
              </w:rPr>
              <w:t>类型</w:t>
            </w:r>
          </w:p>
        </w:tc>
        <w:tc>
          <w:tcPr>
            <w:tcW w:w="1209" w:type="dxa"/>
            <w:vMerge w:val="restart"/>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猪</w:t>
            </w:r>
            <w:r>
              <w:rPr>
                <w:rFonts w:ascii="Arial" w:hAnsi="Arial" w:eastAsia="宋体" w:cs="Arial"/>
                <w:color w:val="333333"/>
                <w:kern w:val="0"/>
                <w:szCs w:val="21"/>
              </w:rPr>
              <w:t>（</w:t>
            </w:r>
            <w:r>
              <w:rPr>
                <w:rFonts w:hint="eastAsia" w:ascii="Arial" w:hAnsi="Arial" w:eastAsia="宋体" w:cs="Arial"/>
                <w:color w:val="333333"/>
                <w:kern w:val="0"/>
                <w:szCs w:val="21"/>
              </w:rPr>
              <w:t>头</w:t>
            </w:r>
            <w:r>
              <w:rPr>
                <w:rFonts w:ascii="Arial" w:hAnsi="Arial" w:eastAsia="宋体" w:cs="Arial"/>
                <w:color w:val="333333"/>
                <w:kern w:val="0"/>
                <w:szCs w:val="21"/>
              </w:rPr>
              <w:t>）</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（出栏）</w:t>
            </w:r>
          </w:p>
        </w:tc>
        <w:tc>
          <w:tcPr>
            <w:tcW w:w="2766" w:type="dxa"/>
            <w:gridSpan w:val="2"/>
            <w:vAlign w:val="center"/>
          </w:tcPr>
          <w:p>
            <w:pPr>
              <w:widowControl/>
              <w:spacing w:line="360" w:lineRule="auto"/>
              <w:contextualSpacing/>
              <w:jc w:val="center"/>
              <w:rPr>
                <w:rFonts w:ascii="Arial" w:hAnsi="Arial" w:eastAsia="宋体" w:cs="Arial"/>
                <w:color w:val="333333"/>
                <w:kern w:val="0"/>
                <w:szCs w:val="21"/>
              </w:rPr>
            </w:pPr>
            <w:r>
              <w:rPr>
                <w:rFonts w:hint="eastAsia" w:ascii="Arial" w:hAnsi="Arial" w:eastAsia="宋体" w:cs="Arial"/>
                <w:color w:val="333333"/>
                <w:kern w:val="0"/>
                <w:szCs w:val="21"/>
              </w:rPr>
              <w:t>牛</w:t>
            </w:r>
            <w:r>
              <w:rPr>
                <w:rFonts w:ascii="Arial" w:hAnsi="Arial" w:eastAsia="宋体" w:cs="Arial"/>
                <w:color w:val="333333"/>
                <w:kern w:val="0"/>
                <w:szCs w:val="21"/>
              </w:rPr>
              <w:t>（</w:t>
            </w:r>
            <w:r>
              <w:rPr>
                <w:rFonts w:hint="eastAsia" w:ascii="Arial" w:hAnsi="Arial" w:eastAsia="宋体" w:cs="Arial"/>
                <w:color w:val="333333"/>
                <w:kern w:val="0"/>
                <w:szCs w:val="21"/>
              </w:rPr>
              <w:t>头</w:t>
            </w:r>
            <w:r>
              <w:rPr>
                <w:rFonts w:ascii="Arial" w:hAnsi="Arial" w:eastAsia="宋体" w:cs="Arial"/>
                <w:color w:val="333333"/>
                <w:kern w:val="0"/>
                <w:szCs w:val="21"/>
              </w:rPr>
              <w:t>）</w:t>
            </w:r>
          </w:p>
        </w:tc>
        <w:tc>
          <w:tcPr>
            <w:tcW w:w="2766" w:type="dxa"/>
            <w:gridSpan w:val="2"/>
            <w:vAlign w:val="center"/>
          </w:tcPr>
          <w:p>
            <w:pPr>
              <w:widowControl/>
              <w:spacing w:line="360" w:lineRule="auto"/>
              <w:contextualSpacing/>
              <w:jc w:val="center"/>
              <w:rPr>
                <w:rFonts w:ascii="Arial" w:hAnsi="Arial" w:eastAsia="宋体" w:cs="Arial"/>
                <w:color w:val="333333"/>
                <w:kern w:val="0"/>
                <w:szCs w:val="21"/>
              </w:rPr>
            </w:pPr>
            <w:r>
              <w:rPr>
                <w:rFonts w:hint="eastAsia" w:ascii="Arial" w:hAnsi="Arial" w:eastAsia="宋体" w:cs="Arial"/>
                <w:color w:val="333333"/>
                <w:kern w:val="0"/>
                <w:szCs w:val="21"/>
              </w:rPr>
              <w:t>鸡</w:t>
            </w:r>
            <w:r>
              <w:rPr>
                <w:rFonts w:ascii="Arial" w:hAnsi="Arial" w:eastAsia="宋体" w:cs="Arial"/>
                <w:color w:val="333333"/>
                <w:kern w:val="0"/>
                <w:szCs w:val="21"/>
              </w:rPr>
              <w:t>（</w:t>
            </w:r>
            <w:r>
              <w:rPr>
                <w:rFonts w:hint="eastAsia" w:ascii="Arial" w:hAnsi="Arial" w:eastAsia="宋体" w:cs="Arial"/>
                <w:color w:val="333333"/>
                <w:kern w:val="0"/>
                <w:szCs w:val="21"/>
              </w:rPr>
              <w:t>羽</w:t>
            </w:r>
            <w:r>
              <w:rPr>
                <w:rFonts w:ascii="Arial" w:hAnsi="Arial" w:eastAsia="宋体" w:cs="Arial"/>
                <w:color w:val="333333"/>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widowControl/>
              <w:spacing w:line="360" w:lineRule="auto"/>
              <w:contextualSpacing/>
              <w:jc w:val="center"/>
              <w:rPr>
                <w:rFonts w:ascii="Arial" w:hAnsi="Arial" w:eastAsia="宋体" w:cs="Arial"/>
                <w:color w:val="333333"/>
                <w:kern w:val="0"/>
                <w:szCs w:val="21"/>
              </w:rPr>
            </w:pPr>
          </w:p>
        </w:tc>
        <w:tc>
          <w:tcPr>
            <w:tcW w:w="1209" w:type="dxa"/>
            <w:vMerge w:val="continue"/>
            <w:vAlign w:val="center"/>
          </w:tcPr>
          <w:p>
            <w:pPr>
              <w:widowControl/>
              <w:contextualSpacing/>
              <w:jc w:val="center"/>
              <w:rPr>
                <w:rFonts w:ascii="Arial" w:hAnsi="Arial" w:eastAsia="宋体" w:cs="Arial"/>
                <w:color w:val="333333"/>
                <w:kern w:val="0"/>
                <w:szCs w:val="21"/>
              </w:rPr>
            </w:pP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奶牛</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（存栏）</w:t>
            </w: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肉牛</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（出栏）</w:t>
            </w: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蛋鸡</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（存栏）</w:t>
            </w: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肉鸡</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小型</w:t>
            </w:r>
            <w:r>
              <w:rPr>
                <w:rFonts w:ascii="Arial" w:hAnsi="Arial" w:eastAsia="宋体" w:cs="Arial"/>
                <w:color w:val="333333"/>
                <w:kern w:val="0"/>
                <w:szCs w:val="21"/>
              </w:rPr>
              <w:t>养殖场、养殖小区</w:t>
            </w:r>
          </w:p>
        </w:tc>
        <w:tc>
          <w:tcPr>
            <w:tcW w:w="1209"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500（含）</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w:t>
            </w:r>
            <w:r>
              <w:rPr>
                <w:rFonts w:ascii="Arial" w:hAnsi="Arial" w:eastAsia="宋体" w:cs="Arial"/>
                <w:color w:val="333333"/>
                <w:kern w:val="0"/>
                <w:szCs w:val="21"/>
              </w:rPr>
              <w:t>5000</w:t>
            </w: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50（含）</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w:t>
            </w:r>
            <w:r>
              <w:rPr>
                <w:rFonts w:ascii="Arial" w:hAnsi="Arial" w:eastAsia="宋体" w:cs="Arial"/>
                <w:color w:val="333333"/>
                <w:kern w:val="0"/>
                <w:szCs w:val="21"/>
              </w:rPr>
              <w:t>500</w:t>
            </w:r>
          </w:p>
        </w:tc>
        <w:tc>
          <w:tcPr>
            <w:tcW w:w="1383"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50（含）</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w:t>
            </w:r>
            <w:r>
              <w:rPr>
                <w:rFonts w:ascii="Arial" w:hAnsi="Arial" w:eastAsia="宋体" w:cs="Arial"/>
                <w:color w:val="333333"/>
                <w:kern w:val="0"/>
                <w:szCs w:val="21"/>
              </w:rPr>
              <w:t>1000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10</w:t>
            </w:r>
            <w:r>
              <w:rPr>
                <w:rFonts w:hint="eastAsia" w:ascii="Arial" w:hAnsi="Arial" w:eastAsia="宋体" w:cs="Arial"/>
                <w:color w:val="333333"/>
                <w:kern w:val="0"/>
                <w:szCs w:val="21"/>
              </w:rPr>
              <w:t>0</w:t>
            </w:r>
            <w:r>
              <w:rPr>
                <w:rFonts w:ascii="Arial" w:hAnsi="Arial" w:eastAsia="宋体" w:cs="Arial"/>
                <w:color w:val="333333"/>
                <w:kern w:val="0"/>
                <w:szCs w:val="21"/>
              </w:rPr>
              <w:t>00</w:t>
            </w:r>
            <w:r>
              <w:rPr>
                <w:rFonts w:hint="eastAsia" w:ascii="Arial" w:hAnsi="Arial" w:eastAsia="宋体" w:cs="Arial"/>
                <w:color w:val="333333"/>
                <w:kern w:val="0"/>
                <w:szCs w:val="21"/>
              </w:rPr>
              <w:t>（含）</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w:t>
            </w:r>
            <w:r>
              <w:rPr>
                <w:rFonts w:ascii="Arial" w:hAnsi="Arial" w:eastAsia="宋体" w:cs="Arial"/>
                <w:color w:val="333333"/>
                <w:kern w:val="0"/>
                <w:szCs w:val="21"/>
              </w:rPr>
              <w:t>150000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1000</w:t>
            </w:r>
            <w:r>
              <w:rPr>
                <w:rFonts w:hint="eastAsia" w:ascii="Arial" w:hAnsi="Arial" w:eastAsia="宋体" w:cs="Arial"/>
                <w:color w:val="333333"/>
                <w:kern w:val="0"/>
                <w:szCs w:val="21"/>
              </w:rPr>
              <w:t>0（含）</w:t>
            </w:r>
          </w:p>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w:t>
            </w:r>
            <w:r>
              <w:rPr>
                <w:rFonts w:ascii="Arial" w:hAnsi="Arial" w:eastAsia="宋体" w:cs="Arial"/>
                <w:color w:val="333333"/>
                <w:kern w:val="0"/>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widowControl/>
              <w:contextualSpacing/>
              <w:jc w:val="center"/>
              <w:rPr>
                <w:rFonts w:ascii="Arial" w:hAnsi="Arial" w:eastAsia="宋体" w:cs="Arial"/>
                <w:color w:val="333333"/>
                <w:kern w:val="0"/>
                <w:szCs w:val="21"/>
              </w:rPr>
            </w:pPr>
            <w:r>
              <w:rPr>
                <w:rFonts w:hint="eastAsia" w:ascii="Arial" w:hAnsi="Arial" w:eastAsia="宋体" w:cs="Arial"/>
                <w:color w:val="333333"/>
                <w:kern w:val="0"/>
                <w:szCs w:val="21"/>
              </w:rPr>
              <w:t>大型</w:t>
            </w:r>
            <w:r>
              <w:rPr>
                <w:rFonts w:ascii="Arial" w:hAnsi="Arial" w:eastAsia="宋体" w:cs="Arial"/>
                <w:color w:val="333333"/>
                <w:kern w:val="0"/>
                <w:szCs w:val="21"/>
              </w:rPr>
              <w:t>养殖场、养殖小区</w:t>
            </w:r>
          </w:p>
        </w:tc>
        <w:tc>
          <w:tcPr>
            <w:tcW w:w="1209"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&gt;</w:t>
            </w:r>
            <w:r>
              <w:rPr>
                <w:rFonts w:hint="eastAsia" w:ascii="Arial" w:hAnsi="Arial" w:eastAsia="宋体" w:cs="Arial"/>
                <w:color w:val="333333"/>
                <w:kern w:val="0"/>
                <w:szCs w:val="21"/>
              </w:rPr>
              <w:t>5</w:t>
            </w:r>
            <w:r>
              <w:rPr>
                <w:rFonts w:ascii="Arial" w:hAnsi="Arial" w:eastAsia="宋体" w:cs="Arial"/>
                <w:color w:val="333333"/>
                <w:kern w:val="0"/>
                <w:szCs w:val="21"/>
              </w:rPr>
              <w:t>000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&gt;</w:t>
            </w:r>
            <w:r>
              <w:rPr>
                <w:rFonts w:hint="eastAsia" w:ascii="Arial" w:hAnsi="Arial" w:eastAsia="宋体" w:cs="Arial"/>
                <w:color w:val="333333"/>
                <w:kern w:val="0"/>
                <w:szCs w:val="21"/>
              </w:rPr>
              <w:t>5</w:t>
            </w:r>
            <w:r>
              <w:rPr>
                <w:rFonts w:ascii="Arial" w:hAnsi="Arial" w:eastAsia="宋体" w:cs="Arial"/>
                <w:color w:val="333333"/>
                <w:kern w:val="0"/>
                <w:szCs w:val="21"/>
              </w:rPr>
              <w:t>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&gt;1000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&gt;1</w:t>
            </w:r>
            <w:r>
              <w:rPr>
                <w:rFonts w:hint="eastAsia" w:ascii="Arial" w:hAnsi="Arial" w:eastAsia="宋体" w:cs="Arial"/>
                <w:color w:val="333333"/>
                <w:kern w:val="0"/>
                <w:szCs w:val="21"/>
              </w:rPr>
              <w:t>5</w:t>
            </w:r>
            <w:r>
              <w:rPr>
                <w:rFonts w:ascii="Arial" w:hAnsi="Arial" w:eastAsia="宋体" w:cs="Arial"/>
                <w:color w:val="333333"/>
                <w:kern w:val="0"/>
                <w:szCs w:val="21"/>
              </w:rPr>
              <w:t>0000</w:t>
            </w:r>
          </w:p>
        </w:tc>
        <w:tc>
          <w:tcPr>
            <w:tcW w:w="1383" w:type="dxa"/>
            <w:vAlign w:val="center"/>
          </w:tcPr>
          <w:p>
            <w:pPr>
              <w:widowControl/>
              <w:contextualSpacing/>
              <w:jc w:val="center"/>
              <w:rPr>
                <w:rFonts w:ascii="Arial" w:hAnsi="Arial" w:eastAsia="宋体" w:cs="Arial"/>
                <w:color w:val="333333"/>
                <w:kern w:val="0"/>
                <w:szCs w:val="21"/>
              </w:rPr>
            </w:pPr>
            <w:r>
              <w:rPr>
                <w:rFonts w:ascii="Arial" w:hAnsi="Arial" w:eastAsia="宋体" w:cs="Arial"/>
                <w:color w:val="333333"/>
                <w:kern w:val="0"/>
                <w:szCs w:val="21"/>
              </w:rPr>
              <w:t>&gt;300000</w:t>
            </w:r>
          </w:p>
        </w:tc>
      </w:tr>
    </w:tbl>
    <w:p>
      <w:pPr>
        <w:widowControl/>
        <w:spacing w:line="360" w:lineRule="auto"/>
        <w:ind w:firstLine="480" w:firstLineChars="200"/>
        <w:contextualSpacing/>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具有不同畜禽养殖种类的，可将其</w:t>
      </w:r>
      <w:r>
        <w:rPr>
          <w:rFonts w:hint="eastAsia" w:ascii="宋体" w:hAnsi="宋体" w:eastAsia="宋体" w:cs="宋体"/>
          <w:color w:val="333333"/>
          <w:kern w:val="0"/>
          <w:sz w:val="24"/>
          <w:szCs w:val="24"/>
          <w:lang w:eastAsia="zh-CN"/>
        </w:rPr>
        <w:t>他</w:t>
      </w:r>
      <w:r>
        <w:rPr>
          <w:rFonts w:hint="eastAsia" w:ascii="宋体" w:hAnsi="宋体" w:eastAsia="宋体" w:cs="宋体"/>
          <w:color w:val="333333"/>
          <w:kern w:val="0"/>
          <w:sz w:val="24"/>
          <w:szCs w:val="24"/>
        </w:rPr>
        <w:t>畜禽养殖量折算为猪的养殖量，以猪的养殖量确定养殖规模。换算比例为30羽蛋鸡、30羽鸭、15羽鹅、60羽肉鸡、30只兔、3只羊折算为1头猪，1头奶牛/肉牛折算为10头猪。</w:t>
      </w:r>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第四条</w:t>
      </w:r>
      <w:r>
        <w:rPr>
          <w:rFonts w:hint="eastAsia" w:ascii="Arial" w:hAnsi="Arial" w:eastAsia="宋体" w:cs="Arial"/>
          <w:color w:val="333333"/>
          <w:kern w:val="0"/>
          <w:sz w:val="24"/>
          <w:szCs w:val="24"/>
        </w:rPr>
        <w:t xml:space="preserve"> 区政府</w:t>
      </w:r>
      <w:r>
        <w:rPr>
          <w:rFonts w:hint="eastAsia" w:ascii="宋体" w:hAnsi="宋体" w:eastAsia="宋体" w:cs="宋体"/>
          <w:color w:val="333333"/>
          <w:kern w:val="0"/>
          <w:sz w:val="24"/>
          <w:szCs w:val="24"/>
        </w:rPr>
        <w:t>应加强对畜禽养殖污染防治相关工作的组织领导，建立农业</w:t>
      </w:r>
      <w:r>
        <w:rPr>
          <w:rFonts w:ascii="宋体" w:hAnsi="宋体" w:eastAsia="宋体" w:cs="宋体"/>
          <w:color w:val="333333"/>
          <w:kern w:val="0"/>
          <w:sz w:val="24"/>
          <w:szCs w:val="24"/>
        </w:rPr>
        <w:t>农村局</w:t>
      </w:r>
      <w:r>
        <w:rPr>
          <w:rFonts w:hint="eastAsia" w:ascii="宋体" w:hAnsi="宋体" w:eastAsia="宋体" w:cs="宋体"/>
          <w:color w:val="333333"/>
          <w:kern w:val="0"/>
          <w:sz w:val="24"/>
          <w:szCs w:val="24"/>
        </w:rPr>
        <w:t>、发展改革局、公安分局、财政局、自然资源辽中分局、城</w:t>
      </w:r>
      <w:r>
        <w:rPr>
          <w:rFonts w:hint="eastAsia" w:ascii="宋体" w:hAnsi="宋体" w:eastAsia="宋体" w:cs="宋体"/>
          <w:color w:val="333333"/>
          <w:kern w:val="0"/>
          <w:sz w:val="24"/>
          <w:szCs w:val="24"/>
          <w:lang w:eastAsia="zh-CN"/>
        </w:rPr>
        <w:t>乡建设</w:t>
      </w:r>
      <w:r>
        <w:rPr>
          <w:rFonts w:hint="eastAsia" w:ascii="宋体" w:hAnsi="宋体" w:eastAsia="宋体" w:cs="宋体"/>
          <w:color w:val="333333"/>
          <w:kern w:val="0"/>
          <w:sz w:val="24"/>
          <w:szCs w:val="24"/>
        </w:rPr>
        <w:t>局、交通局</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水务局等多部门工作协调机制，统筹推进畜禽养殖污染防治工作。</w:t>
      </w:r>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第五条</w:t>
      </w:r>
      <w:r>
        <w:rPr>
          <w:rFonts w:hint="eastAsia" w:ascii="Arial" w:hAnsi="Arial" w:eastAsia="宋体" w:cs="Arial"/>
          <w:color w:val="333333"/>
          <w:kern w:val="0"/>
          <w:sz w:val="24"/>
          <w:szCs w:val="24"/>
        </w:rPr>
        <w:t xml:space="preserve"> 区农业农村局</w:t>
      </w:r>
      <w:r>
        <w:rPr>
          <w:rFonts w:hint="eastAsia" w:ascii="宋体" w:hAnsi="宋体" w:eastAsia="宋体" w:cs="宋体"/>
          <w:color w:val="333333"/>
          <w:kern w:val="0"/>
          <w:sz w:val="24"/>
          <w:szCs w:val="24"/>
        </w:rPr>
        <w:t>负责畜禽养殖废弃物综合利用的指导与服务</w:t>
      </w:r>
      <w:r>
        <w:rPr>
          <w:rFonts w:hint="eastAsia" w:ascii="宋体" w:hAnsi="宋体" w:eastAsia="宋体" w:cs="宋体"/>
          <w:color w:val="333333"/>
          <w:kern w:val="0"/>
          <w:sz w:val="24"/>
          <w:szCs w:val="24"/>
          <w:lang w:eastAsia="zh-CN"/>
        </w:rPr>
        <w:t>，每年</w:t>
      </w:r>
      <w:r>
        <w:rPr>
          <w:rFonts w:hint="eastAsia" w:ascii="宋体" w:hAnsi="宋体" w:eastAsia="宋体" w:cs="宋体"/>
          <w:color w:val="333333"/>
          <w:kern w:val="0"/>
          <w:sz w:val="24"/>
          <w:szCs w:val="24"/>
          <w:lang w:val="en-US" w:eastAsia="zh-CN"/>
        </w:rPr>
        <w:t>1月份将上一年度畜禽粪污资源化利用有关工作开展情况抄送生态环境部门，并将整改中发现的畜禽养殖废弃物未经无害化处理等行为及时移交生态环境部门，不断构建联合惩戒工作的信息联络反馈机制。</w:t>
      </w:r>
      <w:r>
        <w:rPr>
          <w:rFonts w:hint="eastAsia" w:ascii="宋体" w:hAnsi="宋体" w:eastAsia="宋体" w:cs="宋体"/>
          <w:color w:val="333333"/>
          <w:kern w:val="0"/>
          <w:sz w:val="24"/>
          <w:szCs w:val="24"/>
        </w:rPr>
        <w:t>负责牵头编制本行政区域畜牧业发展规划；负责畜禽养殖备案登记管理、动物防疫条件的审核和监督、病死畜禽无害化处理等工作。</w:t>
      </w:r>
    </w:p>
    <w:p>
      <w:pPr>
        <w:widowControl/>
        <w:shd w:val="clear" w:color="auto" w:fill="FFFFFF"/>
        <w:spacing w:line="360" w:lineRule="auto"/>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区生态环境分</w:t>
      </w:r>
      <w:r>
        <w:rPr>
          <w:rFonts w:ascii="宋体" w:hAnsi="宋体" w:eastAsia="宋体" w:cs="宋体"/>
          <w:color w:val="333333"/>
          <w:kern w:val="0"/>
          <w:sz w:val="24"/>
          <w:szCs w:val="24"/>
        </w:rPr>
        <w:t>局</w:t>
      </w:r>
      <w:r>
        <w:rPr>
          <w:rFonts w:hint="eastAsia" w:ascii="宋体" w:hAnsi="宋体" w:eastAsia="宋体" w:cs="宋体"/>
          <w:color w:val="333333"/>
          <w:kern w:val="0"/>
          <w:sz w:val="24"/>
          <w:szCs w:val="24"/>
        </w:rPr>
        <w:t>负责畜禽养殖污染防治的统一监督管理，会同农业农村局等</w:t>
      </w:r>
      <w:r>
        <w:rPr>
          <w:rFonts w:ascii="宋体" w:hAnsi="宋体" w:eastAsia="宋体" w:cs="宋体"/>
          <w:color w:val="333333"/>
          <w:kern w:val="0"/>
          <w:sz w:val="24"/>
          <w:szCs w:val="24"/>
        </w:rPr>
        <w:t>各</w:t>
      </w:r>
      <w:r>
        <w:rPr>
          <w:rFonts w:hint="eastAsia" w:ascii="宋体" w:hAnsi="宋体" w:eastAsia="宋体" w:cs="宋体"/>
          <w:color w:val="333333"/>
          <w:kern w:val="0"/>
          <w:sz w:val="24"/>
          <w:szCs w:val="24"/>
        </w:rPr>
        <w:t>部门编制本行政区域畜禽养殖污染防治规划，管理和完善本行政区域内养殖场、养殖小区环保台账</w:t>
      </w:r>
      <w:r>
        <w:rPr>
          <w:rFonts w:hint="eastAsia" w:ascii="宋体" w:hAnsi="宋体" w:eastAsia="宋体" w:cs="宋体"/>
          <w:color w:val="333333"/>
          <w:kern w:val="0"/>
          <w:sz w:val="24"/>
          <w:szCs w:val="24"/>
          <w:lang w:eastAsia="zh-CN"/>
        </w:rPr>
        <w:t>，每年</w:t>
      </w:r>
      <w:r>
        <w:rPr>
          <w:rFonts w:hint="eastAsia" w:ascii="宋体" w:hAnsi="宋体" w:eastAsia="宋体" w:cs="宋体"/>
          <w:color w:val="333333"/>
          <w:kern w:val="0"/>
          <w:sz w:val="24"/>
          <w:szCs w:val="24"/>
          <w:lang w:val="en-US" w:eastAsia="zh-CN"/>
        </w:rPr>
        <w:t>1月份将养殖场户报送的畜禽养殖品种、规模以及畜禽养殖废弃物的产生、排放和综合利用情况抄送农业农村部门</w:t>
      </w:r>
      <w:r>
        <w:rPr>
          <w:rFonts w:hint="eastAsia" w:ascii="宋体" w:hAnsi="宋体" w:eastAsia="宋体" w:cs="宋体"/>
          <w:color w:val="333333"/>
          <w:kern w:val="0"/>
          <w:sz w:val="24"/>
          <w:szCs w:val="24"/>
        </w:rPr>
        <w:t>；负责畜禽养殖建设项目环境影响评价、</w:t>
      </w:r>
      <w:r>
        <w:rPr>
          <w:rFonts w:hint="eastAsia" w:ascii="宋体" w:hAnsi="宋体" w:eastAsia="宋体" w:cs="宋体"/>
          <w:color w:val="333333"/>
          <w:kern w:val="0"/>
          <w:sz w:val="24"/>
          <w:szCs w:val="24"/>
          <w:lang w:eastAsia="zh-CN"/>
        </w:rPr>
        <w:t>“三防”设施的监督管理</w:t>
      </w:r>
      <w:r>
        <w:rPr>
          <w:rFonts w:hint="eastAsia" w:ascii="宋体" w:hAnsi="宋体" w:eastAsia="宋体" w:cs="宋体"/>
          <w:color w:val="333333"/>
          <w:kern w:val="0"/>
          <w:sz w:val="24"/>
          <w:szCs w:val="24"/>
        </w:rPr>
        <w:t>，对规模化养殖场、养殖小区开展粪污收集、</w:t>
      </w:r>
      <w:r>
        <w:rPr>
          <w:rFonts w:ascii="宋体" w:hAnsi="宋体" w:eastAsia="宋体" w:cs="宋体"/>
          <w:color w:val="333333"/>
          <w:kern w:val="0"/>
          <w:sz w:val="24"/>
          <w:szCs w:val="24"/>
        </w:rPr>
        <w:t>转运、处理处置等</w:t>
      </w:r>
      <w:r>
        <w:rPr>
          <w:rFonts w:hint="eastAsia" w:ascii="宋体" w:hAnsi="宋体" w:eastAsia="宋体" w:cs="宋体"/>
          <w:color w:val="333333"/>
          <w:kern w:val="0"/>
          <w:sz w:val="24"/>
          <w:szCs w:val="24"/>
        </w:rPr>
        <w:t>环境监管执法检查和查处其环境违法案件等工作。</w:t>
      </w:r>
    </w:p>
    <w:p>
      <w:pPr>
        <w:widowControl/>
        <w:spacing w:line="360" w:lineRule="auto"/>
        <w:ind w:firstLine="480" w:firstLineChars="200"/>
        <w:contextualSpacing/>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其他有关部门依照法律法规规定和职能分工，行使相关职责，并依法公开畜禽养殖污染防治工作的相关信息。</w:t>
      </w:r>
    </w:p>
    <w:p>
      <w:pPr>
        <w:widowControl/>
        <w:spacing w:line="360" w:lineRule="auto"/>
        <w:ind w:firstLine="480" w:firstLineChars="200"/>
        <w:contextualSpacing/>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各镇(街道）政府（办事处）以及村（居）委会按照属地管理原则，协助有关部门做好本行政区域内的畜禽养殖污染防治工作。</w:t>
      </w:r>
    </w:p>
    <w:p>
      <w:pPr>
        <w:widowControl/>
        <w:spacing w:line="360" w:lineRule="auto"/>
        <w:ind w:firstLine="480" w:firstLineChars="200"/>
        <w:contextualSpacing/>
        <w:jc w:val="left"/>
        <w:rPr>
          <w:rFonts w:hint="eastAsia" w:ascii="宋体" w:hAnsi="宋体" w:eastAsia="宋体" w:cs="宋体"/>
          <w:color w:val="333333"/>
          <w:kern w:val="0"/>
          <w:sz w:val="24"/>
          <w:szCs w:val="24"/>
        </w:rPr>
      </w:pPr>
      <w:r>
        <w:rPr>
          <w:rFonts w:ascii="Arial" w:hAnsi="Arial" w:eastAsia="宋体" w:cs="Arial"/>
          <w:color w:val="333333"/>
          <w:kern w:val="0"/>
          <w:sz w:val="24"/>
          <w:szCs w:val="24"/>
        </w:rPr>
        <w:t>畜禽养殖协会应当加强行业自律和诚信建设，防止、减少畜禽养殖污染行为。</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第六条</w:t>
      </w:r>
      <w:r>
        <w:rPr>
          <w:rFonts w:hint="eastAsia" w:ascii="Arial" w:hAnsi="Arial" w:eastAsia="宋体" w:cs="Arial"/>
          <w:color w:val="333333"/>
          <w:kern w:val="0"/>
          <w:sz w:val="24"/>
          <w:szCs w:val="24"/>
        </w:rPr>
        <w:t xml:space="preserve"> 区政府相关部门、镇(街道）政府（办事处）</w:t>
      </w:r>
      <w:r>
        <w:rPr>
          <w:rFonts w:ascii="Arial" w:hAnsi="Arial" w:eastAsia="宋体" w:cs="Arial"/>
          <w:color w:val="333333"/>
          <w:kern w:val="0"/>
          <w:sz w:val="24"/>
          <w:szCs w:val="24"/>
        </w:rPr>
        <w:t>应加强畜禽养殖污染防治知识的宣传教育，</w:t>
      </w:r>
      <w:r>
        <w:rPr>
          <w:rFonts w:hint="eastAsia" w:ascii="Arial" w:hAnsi="Arial" w:eastAsia="宋体" w:cs="Arial"/>
          <w:color w:val="333333"/>
          <w:kern w:val="0"/>
          <w:sz w:val="24"/>
          <w:szCs w:val="24"/>
        </w:rPr>
        <w:t>引</w:t>
      </w:r>
      <w:r>
        <w:rPr>
          <w:rFonts w:ascii="Arial" w:hAnsi="Arial" w:eastAsia="宋体" w:cs="Arial"/>
          <w:color w:val="333333"/>
          <w:kern w:val="0"/>
          <w:sz w:val="24"/>
          <w:szCs w:val="24"/>
        </w:rPr>
        <w:t>导有利于生态环境保护的生产和生活方式。</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第七条</w:t>
      </w:r>
      <w:r>
        <w:rPr>
          <w:rFonts w:hint="eastAsia" w:ascii="Arial" w:hAnsi="Arial" w:eastAsia="宋体" w:cs="Arial"/>
          <w:color w:val="333333"/>
          <w:kern w:val="0"/>
          <w:sz w:val="24"/>
          <w:szCs w:val="24"/>
        </w:rPr>
        <w:t xml:space="preserve"> 畜禽养殖应禁止下列行为：</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（一）向河道、沟渠直接排放畜禽养殖废弃物；</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（二）在街道、广场、路边等公共场所贮存畜禽养殖废弃物；</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（三）在运输畜禽养殖废弃物过程中造成污染；</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（四）其</w:t>
      </w:r>
      <w:r>
        <w:rPr>
          <w:rFonts w:hint="eastAsia" w:ascii="Arial" w:hAnsi="Arial" w:eastAsia="宋体" w:cs="Arial"/>
          <w:color w:val="333333"/>
          <w:kern w:val="0"/>
          <w:sz w:val="24"/>
          <w:szCs w:val="24"/>
          <w:lang w:eastAsia="zh-CN"/>
        </w:rPr>
        <w:t>他</w:t>
      </w:r>
      <w:r>
        <w:rPr>
          <w:rFonts w:hint="eastAsia" w:ascii="Arial" w:hAnsi="Arial" w:eastAsia="宋体" w:cs="Arial"/>
          <w:color w:val="333333"/>
          <w:kern w:val="0"/>
          <w:sz w:val="24"/>
          <w:szCs w:val="24"/>
        </w:rPr>
        <w:t>在非指定场所排放畜禽养殖废弃物的行为。</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（五）尿液未采取统一集中收集，或集中收集后未经无害化处理达标即排放。</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八</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任何单位和个人有权向环境保护主管部门和其他负有监督管理职责的部门举报畜禽养殖污染行为，接受举报的部门应当及时受理、查处并向举报人反馈有关情况。</w:t>
      </w:r>
    </w:p>
    <w:p>
      <w:pPr>
        <w:pStyle w:val="2"/>
      </w:pPr>
      <w:bookmarkStart w:id="1" w:name="_Toc70503480"/>
      <w:r>
        <w:t>第二章 预防</w:t>
      </w:r>
      <w:bookmarkEnd w:id="1"/>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九</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区人民</w:t>
      </w:r>
      <w:r>
        <w:rPr>
          <w:rFonts w:ascii="Arial" w:hAnsi="Arial" w:eastAsia="宋体" w:cs="Arial"/>
          <w:color w:val="333333"/>
          <w:kern w:val="0"/>
          <w:sz w:val="24"/>
          <w:szCs w:val="24"/>
        </w:rPr>
        <w:t>政府应当根据城乡总体规划、土地利用总体规划、生态环境保护规划以及畜禽养殖业发展规划、畜禽养殖污染防治规划，科学合理划定</w:t>
      </w:r>
      <w:r>
        <w:rPr>
          <w:rFonts w:hint="eastAsia" w:ascii="Arial" w:hAnsi="Arial" w:eastAsia="宋体" w:cs="Arial"/>
          <w:color w:val="333333"/>
          <w:kern w:val="0"/>
          <w:sz w:val="24"/>
          <w:szCs w:val="24"/>
        </w:rPr>
        <w:t>本行政区域</w:t>
      </w:r>
      <w:r>
        <w:rPr>
          <w:rFonts w:ascii="Arial" w:hAnsi="Arial" w:eastAsia="宋体" w:cs="Arial"/>
          <w:color w:val="333333"/>
          <w:kern w:val="0"/>
          <w:sz w:val="24"/>
          <w:szCs w:val="24"/>
        </w:rPr>
        <w:t>畜禽养殖的禁养区、限养区</w:t>
      </w:r>
      <w:r>
        <w:rPr>
          <w:rFonts w:hint="eastAsia" w:ascii="Arial" w:hAnsi="Arial" w:eastAsia="宋体" w:cs="Arial"/>
          <w:color w:val="333333"/>
          <w:kern w:val="0"/>
          <w:sz w:val="24"/>
          <w:szCs w:val="24"/>
        </w:rPr>
        <w:t>和</w:t>
      </w:r>
      <w:r>
        <w:rPr>
          <w:rFonts w:ascii="Arial" w:hAnsi="Arial" w:eastAsia="宋体" w:cs="Arial"/>
          <w:color w:val="333333"/>
          <w:kern w:val="0"/>
          <w:sz w:val="24"/>
          <w:szCs w:val="24"/>
        </w:rPr>
        <w:t>适养区。</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区</w:t>
      </w:r>
      <w:r>
        <w:rPr>
          <w:rFonts w:ascii="Arial" w:hAnsi="Arial" w:eastAsia="宋体" w:cs="Arial"/>
          <w:color w:val="333333"/>
          <w:kern w:val="0"/>
          <w:sz w:val="24"/>
          <w:szCs w:val="24"/>
        </w:rPr>
        <w:t>行政区内禁养区、限养区的划定和调整，由</w:t>
      </w:r>
      <w:r>
        <w:rPr>
          <w:rFonts w:hint="eastAsia" w:ascii="Arial" w:hAnsi="Arial" w:eastAsia="宋体" w:cs="Arial"/>
          <w:color w:val="333333"/>
          <w:kern w:val="0"/>
          <w:sz w:val="24"/>
          <w:szCs w:val="24"/>
        </w:rPr>
        <w:t>区</w:t>
      </w:r>
      <w:r>
        <w:rPr>
          <w:rFonts w:ascii="Arial" w:hAnsi="Arial" w:eastAsia="宋体" w:cs="Arial"/>
          <w:color w:val="333333"/>
          <w:kern w:val="0"/>
          <w:sz w:val="24"/>
          <w:szCs w:val="24"/>
        </w:rPr>
        <w:t>环境保护主管部门会同农业</w:t>
      </w:r>
      <w:r>
        <w:rPr>
          <w:rFonts w:hint="eastAsia" w:ascii="Arial" w:hAnsi="Arial" w:eastAsia="宋体" w:cs="Arial"/>
          <w:color w:val="333333"/>
          <w:kern w:val="0"/>
          <w:sz w:val="24"/>
          <w:szCs w:val="24"/>
          <w:lang w:eastAsia="zh-CN"/>
        </w:rPr>
        <w:t>农村局</w:t>
      </w: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工业</w:t>
      </w:r>
      <w:r>
        <w:rPr>
          <w:rFonts w:ascii="Arial" w:hAnsi="Arial" w:eastAsia="宋体" w:cs="Arial"/>
          <w:color w:val="333333"/>
          <w:kern w:val="0"/>
          <w:sz w:val="24"/>
          <w:szCs w:val="24"/>
        </w:rPr>
        <w:t>和信息化、</w:t>
      </w:r>
      <w:r>
        <w:rPr>
          <w:rFonts w:hint="eastAsia" w:ascii="Arial" w:hAnsi="Arial" w:eastAsia="宋体" w:cs="Arial"/>
          <w:color w:val="333333"/>
          <w:kern w:val="0"/>
          <w:sz w:val="24"/>
          <w:szCs w:val="24"/>
        </w:rPr>
        <w:t>自然</w:t>
      </w:r>
      <w:r>
        <w:rPr>
          <w:rFonts w:ascii="Arial" w:hAnsi="Arial" w:eastAsia="宋体" w:cs="Arial"/>
          <w:color w:val="333333"/>
          <w:kern w:val="0"/>
          <w:sz w:val="24"/>
          <w:szCs w:val="24"/>
        </w:rPr>
        <w:t>资源</w:t>
      </w:r>
      <w:r>
        <w:rPr>
          <w:rFonts w:hint="eastAsia" w:ascii="Arial" w:hAnsi="Arial" w:eastAsia="宋体" w:cs="Arial"/>
          <w:color w:val="333333"/>
          <w:kern w:val="0"/>
          <w:sz w:val="24"/>
          <w:szCs w:val="24"/>
          <w:lang w:eastAsia="zh-CN"/>
        </w:rPr>
        <w:t>辽中分局</w:t>
      </w:r>
      <w:r>
        <w:rPr>
          <w:rFonts w:ascii="Arial" w:hAnsi="Arial" w:eastAsia="宋体" w:cs="Arial"/>
          <w:color w:val="333333"/>
          <w:kern w:val="0"/>
          <w:sz w:val="24"/>
          <w:szCs w:val="24"/>
        </w:rPr>
        <w:t>、城</w:t>
      </w:r>
      <w:r>
        <w:rPr>
          <w:rFonts w:hint="eastAsia" w:ascii="Arial" w:hAnsi="Arial" w:eastAsia="宋体" w:cs="Arial"/>
          <w:color w:val="333333"/>
          <w:kern w:val="0"/>
          <w:sz w:val="24"/>
          <w:szCs w:val="24"/>
          <w:lang w:eastAsia="zh-CN"/>
        </w:rPr>
        <w:t>乡</w:t>
      </w:r>
      <w:r>
        <w:rPr>
          <w:rFonts w:ascii="Arial" w:hAnsi="Arial" w:eastAsia="宋体" w:cs="Arial"/>
          <w:color w:val="333333"/>
          <w:kern w:val="0"/>
          <w:sz w:val="24"/>
          <w:szCs w:val="24"/>
        </w:rPr>
        <w:t>管理</w:t>
      </w:r>
      <w:r>
        <w:rPr>
          <w:rFonts w:hint="eastAsia" w:ascii="Arial" w:hAnsi="Arial" w:eastAsia="宋体" w:cs="Arial"/>
          <w:color w:val="333333"/>
          <w:kern w:val="0"/>
          <w:sz w:val="24"/>
          <w:szCs w:val="24"/>
          <w:lang w:eastAsia="zh-CN"/>
        </w:rPr>
        <w:t>局</w:t>
      </w:r>
      <w:r>
        <w:rPr>
          <w:rFonts w:ascii="Arial" w:hAnsi="Arial" w:eastAsia="宋体" w:cs="Arial"/>
          <w:color w:val="333333"/>
          <w:kern w:val="0"/>
          <w:sz w:val="24"/>
          <w:szCs w:val="24"/>
        </w:rPr>
        <w:t>、</w:t>
      </w:r>
      <w:r>
        <w:rPr>
          <w:rFonts w:hint="eastAsia" w:ascii="Arial" w:hAnsi="Arial" w:eastAsia="宋体" w:cs="Arial"/>
          <w:color w:val="333333"/>
          <w:kern w:val="0"/>
          <w:sz w:val="24"/>
          <w:szCs w:val="24"/>
          <w:lang w:eastAsia="zh-CN"/>
        </w:rPr>
        <w:t>水务局</w:t>
      </w:r>
      <w:r>
        <w:rPr>
          <w:rFonts w:ascii="Arial" w:hAnsi="Arial" w:eastAsia="宋体" w:cs="Arial"/>
          <w:color w:val="333333"/>
          <w:kern w:val="0"/>
          <w:sz w:val="24"/>
          <w:szCs w:val="24"/>
        </w:rPr>
        <w:t>等部门提出方案，报</w:t>
      </w:r>
      <w:r>
        <w:rPr>
          <w:rFonts w:hint="eastAsia" w:ascii="Arial" w:hAnsi="Arial" w:eastAsia="宋体" w:cs="Arial"/>
          <w:color w:val="333333"/>
          <w:kern w:val="0"/>
          <w:sz w:val="24"/>
          <w:szCs w:val="24"/>
        </w:rPr>
        <w:t>区</w:t>
      </w:r>
      <w:r>
        <w:rPr>
          <w:rFonts w:ascii="Arial" w:hAnsi="Arial" w:eastAsia="宋体" w:cs="Arial"/>
          <w:color w:val="333333"/>
          <w:kern w:val="0"/>
          <w:sz w:val="24"/>
          <w:szCs w:val="24"/>
        </w:rPr>
        <w:t>人民政府批准后</w:t>
      </w:r>
      <w:r>
        <w:rPr>
          <w:rFonts w:hint="eastAsia" w:ascii="Arial" w:hAnsi="Arial" w:eastAsia="宋体" w:cs="Arial"/>
          <w:color w:val="333333"/>
          <w:kern w:val="0"/>
          <w:sz w:val="24"/>
          <w:szCs w:val="24"/>
          <w:lang w:eastAsia="zh-CN"/>
        </w:rPr>
        <w:t>走相关法定程序</w:t>
      </w:r>
      <w:r>
        <w:rPr>
          <w:rFonts w:ascii="Arial" w:hAnsi="Arial" w:eastAsia="宋体" w:cs="Arial"/>
          <w:color w:val="333333"/>
          <w:kern w:val="0"/>
          <w:sz w:val="24"/>
          <w:szCs w:val="24"/>
        </w:rPr>
        <w:t>公布实施。</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禁养区划定后原则上5年内不做调整，确需调整的，需由原审批机关批准。</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 xml:space="preserve"> 禁养区内不得建有畜禽养殖场（小区）。对</w:t>
      </w:r>
      <w:r>
        <w:rPr>
          <w:rFonts w:hint="eastAsia" w:ascii="Arial" w:hAnsi="Arial" w:eastAsia="宋体" w:cs="Arial"/>
          <w:color w:val="333333"/>
          <w:kern w:val="0"/>
          <w:sz w:val="24"/>
          <w:szCs w:val="24"/>
        </w:rPr>
        <w:t>禁养区</w:t>
      </w:r>
      <w:r>
        <w:rPr>
          <w:rFonts w:ascii="Arial" w:hAnsi="Arial" w:eastAsia="宋体" w:cs="Arial"/>
          <w:color w:val="333333"/>
          <w:kern w:val="0"/>
          <w:sz w:val="24"/>
          <w:szCs w:val="24"/>
        </w:rPr>
        <w:t>内已有的</w:t>
      </w:r>
      <w:r>
        <w:rPr>
          <w:rFonts w:hint="eastAsia" w:ascii="Arial" w:hAnsi="Arial" w:eastAsia="宋体" w:cs="Arial"/>
          <w:color w:val="333333"/>
          <w:kern w:val="0"/>
          <w:sz w:val="24"/>
          <w:szCs w:val="24"/>
        </w:rPr>
        <w:t>不</w:t>
      </w:r>
      <w:r>
        <w:rPr>
          <w:rFonts w:hint="eastAsia" w:ascii="Arial" w:hAnsi="Arial" w:eastAsia="宋体" w:cs="Arial"/>
          <w:color w:val="333333"/>
          <w:kern w:val="0"/>
          <w:sz w:val="24"/>
          <w:szCs w:val="24"/>
          <w:lang w:eastAsia="zh-CN"/>
        </w:rPr>
        <w:t>符合</w:t>
      </w:r>
      <w:bookmarkStart w:id="5" w:name="_GoBack"/>
      <w:bookmarkEnd w:id="5"/>
      <w:r>
        <w:rPr>
          <w:rFonts w:hint="eastAsia" w:ascii="Arial" w:hAnsi="Arial" w:eastAsia="宋体" w:cs="Arial"/>
          <w:color w:val="333333"/>
          <w:kern w:val="0"/>
          <w:sz w:val="24"/>
          <w:szCs w:val="24"/>
        </w:rPr>
        <w:t>要求</w:t>
      </w:r>
      <w:r>
        <w:rPr>
          <w:rFonts w:ascii="Arial" w:hAnsi="Arial" w:eastAsia="宋体" w:cs="Arial"/>
          <w:color w:val="333333"/>
          <w:kern w:val="0"/>
          <w:sz w:val="24"/>
          <w:szCs w:val="24"/>
        </w:rPr>
        <w:t>的畜禽养殖场（小区），由</w:t>
      </w:r>
      <w:r>
        <w:rPr>
          <w:rFonts w:hint="eastAsia" w:ascii="Arial" w:hAnsi="Arial" w:eastAsia="宋体" w:cs="Arial"/>
          <w:color w:val="333333"/>
          <w:kern w:val="0"/>
          <w:sz w:val="24"/>
          <w:szCs w:val="24"/>
        </w:rPr>
        <w:t>镇(街道）政府（办事处）根据</w:t>
      </w:r>
      <w:r>
        <w:rPr>
          <w:rFonts w:ascii="Arial" w:hAnsi="Arial" w:eastAsia="宋体" w:cs="Arial"/>
          <w:color w:val="333333"/>
          <w:kern w:val="0"/>
          <w:sz w:val="24"/>
          <w:szCs w:val="24"/>
        </w:rPr>
        <w:t>国家</w:t>
      </w:r>
      <w:r>
        <w:rPr>
          <w:rFonts w:hint="eastAsia" w:ascii="Arial" w:hAnsi="Arial" w:eastAsia="宋体" w:cs="Arial"/>
          <w:color w:val="333333"/>
          <w:kern w:val="0"/>
          <w:sz w:val="24"/>
          <w:szCs w:val="24"/>
        </w:rPr>
        <w:t>相关</w:t>
      </w:r>
      <w:r>
        <w:rPr>
          <w:rFonts w:ascii="Arial" w:hAnsi="Arial" w:eastAsia="宋体" w:cs="Arial"/>
          <w:color w:val="333333"/>
          <w:kern w:val="0"/>
          <w:sz w:val="24"/>
          <w:szCs w:val="24"/>
        </w:rPr>
        <w:t>规定限期安排其转产、搬迁、关闭。</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限养区内不得新建和扩建畜禽养殖场（小区）,并应当严格控制畜禽养殖总量，削减污染物排放总量。</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适养区内的畜禽养殖管控政策</w:t>
      </w:r>
      <w:r>
        <w:rPr>
          <w:rFonts w:hint="eastAsia" w:ascii="宋体" w:hAnsi="宋体" w:eastAsia="宋体" w:cs="宋体"/>
          <w:color w:val="333333"/>
          <w:kern w:val="0"/>
          <w:sz w:val="24"/>
          <w:szCs w:val="24"/>
          <w:lang w:eastAsia="zh-CN"/>
        </w:rPr>
        <w:t>应根据畜牧业发展规划，由属地镇（街道）政府（办事处）</w:t>
      </w:r>
      <w:r>
        <w:rPr>
          <w:rFonts w:hint="eastAsia" w:ascii="宋体" w:hAnsi="宋体" w:eastAsia="宋体" w:cs="宋体"/>
          <w:color w:val="333333"/>
          <w:kern w:val="0"/>
          <w:sz w:val="24"/>
          <w:szCs w:val="24"/>
        </w:rPr>
        <w:t>根据当地实际制定。</w:t>
      </w:r>
    </w:p>
    <w:p>
      <w:pPr>
        <w:widowControl/>
        <w:shd w:val="clear" w:color="auto" w:fill="FFFFFF"/>
        <w:spacing w:line="360" w:lineRule="auto"/>
        <w:ind w:firstLine="480" w:firstLineChars="200"/>
        <w:jc w:val="left"/>
        <w:rPr>
          <w:rFonts w:ascii="宋体" w:hAnsi="宋体" w:eastAsia="宋体" w:cs="宋体"/>
          <w:color w:val="333333"/>
          <w:kern w:val="0"/>
          <w:sz w:val="24"/>
          <w:szCs w:val="24"/>
        </w:rPr>
      </w:pPr>
      <w:r>
        <w:rPr>
          <w:rFonts w:ascii="Arial" w:hAnsi="Arial" w:eastAsia="宋体" w:cs="Arial"/>
          <w:color w:val="333333"/>
          <w:kern w:val="0"/>
          <w:sz w:val="24"/>
          <w:szCs w:val="24"/>
        </w:rPr>
        <w:t>第十条</w:t>
      </w:r>
      <w:r>
        <w:rPr>
          <w:rFonts w:hint="eastAsia" w:ascii="Arial" w:hAnsi="Arial" w:eastAsia="宋体" w:cs="Arial"/>
          <w:color w:val="333333"/>
          <w:kern w:val="0"/>
          <w:sz w:val="24"/>
          <w:szCs w:val="24"/>
        </w:rPr>
        <w:t xml:space="preserve"> 各镇(街道）政府（办事处）</w:t>
      </w:r>
      <w:r>
        <w:rPr>
          <w:rFonts w:hint="eastAsia" w:ascii="宋体" w:hAnsi="宋体" w:eastAsia="宋体" w:cs="宋体"/>
          <w:color w:val="333333"/>
          <w:kern w:val="0"/>
          <w:sz w:val="24"/>
          <w:szCs w:val="24"/>
        </w:rPr>
        <w:t>以及村（居）委会对本行政区域内所有养殖场、养殖小区建立环保台账，并上报区级农业</w:t>
      </w:r>
      <w:r>
        <w:rPr>
          <w:rFonts w:hint="eastAsia" w:ascii="宋体" w:hAnsi="宋体" w:eastAsia="宋体" w:cs="宋体"/>
          <w:color w:val="333333"/>
          <w:kern w:val="0"/>
          <w:sz w:val="24"/>
          <w:szCs w:val="24"/>
          <w:lang w:eastAsia="zh-CN"/>
        </w:rPr>
        <w:t>农村局</w:t>
      </w: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eastAsia="zh-CN"/>
        </w:rPr>
        <w:t>生态</w:t>
      </w:r>
      <w:r>
        <w:rPr>
          <w:rFonts w:hint="eastAsia" w:ascii="宋体" w:hAnsi="宋体" w:eastAsia="宋体" w:cs="宋体"/>
          <w:color w:val="333333"/>
          <w:kern w:val="0"/>
          <w:sz w:val="24"/>
          <w:szCs w:val="24"/>
        </w:rPr>
        <w:t>环境主管部门。台账内容包括养殖场和养殖小区名称、养殖地址、联系方式、养殖种类和数量、疫病防控、废弃物的产生和综合利用、污染物排放、病死畜禽无害化处理措施等情况。</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区农业农村局、生态环境</w:t>
      </w:r>
      <w:r>
        <w:rPr>
          <w:rFonts w:hint="eastAsia" w:ascii="宋体" w:hAnsi="宋体" w:eastAsia="宋体" w:cs="宋体"/>
          <w:color w:val="333333"/>
          <w:kern w:val="0"/>
          <w:sz w:val="24"/>
          <w:szCs w:val="24"/>
          <w:lang w:eastAsia="zh-CN"/>
        </w:rPr>
        <w:t>辽中</w:t>
      </w:r>
      <w:r>
        <w:rPr>
          <w:rFonts w:hint="eastAsia" w:ascii="宋体" w:hAnsi="宋体" w:eastAsia="宋体" w:cs="宋体"/>
          <w:color w:val="333333"/>
          <w:kern w:val="0"/>
          <w:sz w:val="24"/>
          <w:szCs w:val="24"/>
        </w:rPr>
        <w:t>分局应加强信息共享，共同管理和完善本行政区域内养殖场、养殖小区环保台账。</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第十</w:t>
      </w:r>
      <w:r>
        <w:rPr>
          <w:rFonts w:hint="eastAsia" w:ascii="Arial" w:hAnsi="Arial" w:eastAsia="宋体" w:cs="Arial"/>
          <w:color w:val="333333"/>
          <w:kern w:val="0"/>
          <w:sz w:val="24"/>
          <w:szCs w:val="24"/>
        </w:rPr>
        <w:t>一</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新建</w:t>
      </w:r>
      <w:r>
        <w:rPr>
          <w:rFonts w:ascii="Arial" w:hAnsi="Arial" w:eastAsia="宋体" w:cs="Arial"/>
          <w:color w:val="333333"/>
          <w:kern w:val="0"/>
          <w:sz w:val="24"/>
          <w:szCs w:val="24"/>
        </w:rPr>
        <w:t>、改建、扩建畜禽养殖场（小区）应当根据养殖规模和污染防治需要，建设相应的畜禽粪便、污水和雨水分流设施，</w:t>
      </w:r>
      <w:r>
        <w:rPr>
          <w:rFonts w:hint="eastAsia" w:ascii="宋体" w:hAnsi="宋体" w:eastAsia="宋体" w:cs="宋体"/>
          <w:color w:val="333333"/>
          <w:kern w:val="0"/>
          <w:sz w:val="24"/>
          <w:szCs w:val="24"/>
        </w:rPr>
        <w:t>建设必要的畜禽养殖废弃物资源化利用设施,场区内应当建设完善的雨水分流设施。</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未建设</w:t>
      </w:r>
      <w:r>
        <w:rPr>
          <w:rFonts w:hint="eastAsia" w:ascii="Arial" w:hAnsi="Arial" w:eastAsia="宋体" w:cs="Arial"/>
          <w:color w:val="333333"/>
          <w:kern w:val="0"/>
          <w:sz w:val="24"/>
          <w:szCs w:val="24"/>
        </w:rPr>
        <w:t>必要</w:t>
      </w:r>
      <w:r>
        <w:rPr>
          <w:rFonts w:ascii="Arial" w:hAnsi="Arial" w:eastAsia="宋体" w:cs="Arial"/>
          <w:color w:val="333333"/>
          <w:kern w:val="0"/>
          <w:sz w:val="24"/>
          <w:szCs w:val="24"/>
        </w:rPr>
        <w:t>的畜禽养殖废弃物</w:t>
      </w:r>
      <w:r>
        <w:rPr>
          <w:rFonts w:hint="eastAsia" w:ascii="宋体" w:hAnsi="宋体" w:eastAsia="宋体" w:cs="宋体"/>
          <w:color w:val="333333"/>
          <w:kern w:val="0"/>
          <w:sz w:val="24"/>
          <w:szCs w:val="24"/>
        </w:rPr>
        <w:t>资源化利用设施</w:t>
      </w:r>
      <w:r>
        <w:rPr>
          <w:rFonts w:ascii="Arial" w:hAnsi="Arial" w:eastAsia="宋体" w:cs="Arial"/>
          <w:color w:val="333333"/>
          <w:kern w:val="0"/>
          <w:sz w:val="24"/>
          <w:szCs w:val="24"/>
        </w:rPr>
        <w:t>、自行建设的配套设施不合格，或者未委托</w:t>
      </w:r>
      <w:r>
        <w:rPr>
          <w:rFonts w:hint="eastAsia" w:ascii="宋体" w:hAnsi="宋体" w:eastAsia="宋体" w:cs="宋体"/>
          <w:color w:val="333333"/>
          <w:kern w:val="0"/>
          <w:sz w:val="24"/>
          <w:szCs w:val="24"/>
        </w:rPr>
        <w:t>有处理设施和能力的单位代为处理的</w:t>
      </w:r>
      <w:r>
        <w:rPr>
          <w:rFonts w:ascii="Arial" w:hAnsi="Arial" w:eastAsia="宋体" w:cs="Arial"/>
          <w:color w:val="333333"/>
          <w:kern w:val="0"/>
          <w:sz w:val="24"/>
          <w:szCs w:val="24"/>
        </w:rPr>
        <w:t>，畜禽养殖场（小区）不得投入生产</w:t>
      </w:r>
      <w:r>
        <w:rPr>
          <w:rFonts w:hint="eastAsia" w:ascii="Arial" w:hAnsi="Arial" w:eastAsia="宋体" w:cs="Arial"/>
          <w:color w:val="333333"/>
          <w:kern w:val="0"/>
          <w:sz w:val="24"/>
          <w:szCs w:val="24"/>
        </w:rPr>
        <w:t>或</w:t>
      </w:r>
      <w:r>
        <w:rPr>
          <w:rFonts w:ascii="Arial" w:hAnsi="Arial" w:eastAsia="宋体" w:cs="Arial"/>
          <w:color w:val="333333"/>
          <w:kern w:val="0"/>
          <w:sz w:val="24"/>
          <w:szCs w:val="24"/>
        </w:rPr>
        <w:t>使用。</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承接畜禽养殖废弃物资源化利用和无害化处理的单位，应具有相应的处理设施和能力，污染物排放能满足要求；应建立畜禽养殖废弃物交接和处理台账，并如实登记。鼓励有资质的单位成片或连片承接畜禽养殖废弃物资源化利用和无害化处理。</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十二</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按照国家排污许可制要求需要申领排污许可证的养殖场、养殖小区应及时申领排污许可证，并按证排污。</w:t>
      </w:r>
    </w:p>
    <w:p>
      <w:pPr>
        <w:widowControl/>
        <w:shd w:val="clear" w:color="auto" w:fill="FFFFFF"/>
        <w:spacing w:line="360" w:lineRule="auto"/>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第十三条 病死畜禽尸体及其排泄物，要严格按照《国务院办公厅关于建立病死畜禽无害化处理机制的意见》（国办发〔2014〕47号）有关规定处理，严禁私自未经任何处理随意抛弃、掩埋等。</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十四</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畜禽养殖场（小区）建设污染防治配套设施应当符合经批准的环境影响评价文件的要求，与主体工程同时设计、同时施工、同时投产使用，不得闲置或者擅自拆除。</w:t>
      </w:r>
    </w:p>
    <w:p>
      <w:pPr>
        <w:pStyle w:val="2"/>
      </w:pPr>
      <w:bookmarkStart w:id="2" w:name="_Toc70503481"/>
      <w:r>
        <w:t xml:space="preserve">第三章 </w:t>
      </w:r>
      <w:r>
        <w:rPr>
          <w:rFonts w:hint="eastAsia"/>
        </w:rPr>
        <w:t>污染</w:t>
      </w:r>
      <w:r>
        <w:t>治理和综合利用</w:t>
      </w:r>
      <w:bookmarkEnd w:id="2"/>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第十五</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畜禽养殖污染治理应按照资源化、减量化、无害化的原则，从源头控制，采取合适的技术对畜禽养殖废弃物进行处理，并通过粪肥还田、制取沼气、制造有机肥等方式提高畜禽养殖废弃物的资源化利用率。</w:t>
      </w:r>
    </w:p>
    <w:p>
      <w:pPr>
        <w:widowControl/>
        <w:spacing w:line="360" w:lineRule="auto"/>
        <w:ind w:firstLine="480" w:firstLineChars="200"/>
        <w:contextualSpacing/>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将畜禽养殖废弃物用作肥料的，应做好无害化处理，并与土地的消纳能力相适应，确保不产生二次环境污染。</w:t>
      </w:r>
    </w:p>
    <w:p>
      <w:pPr>
        <w:widowControl/>
        <w:spacing w:line="360" w:lineRule="auto"/>
        <w:ind w:firstLine="480" w:firstLineChars="200"/>
        <w:contextualSpacing/>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畜禽</w:t>
      </w:r>
      <w:r>
        <w:rPr>
          <w:rFonts w:ascii="宋体" w:hAnsi="宋体" w:eastAsia="宋体" w:cs="宋体"/>
          <w:color w:val="333333"/>
          <w:kern w:val="0"/>
          <w:sz w:val="24"/>
          <w:szCs w:val="24"/>
        </w:rPr>
        <w:t>粪污还田应达到《畜禽粪污还田技术规范》（GB/T 25246-2010）中对畜禽粪污还田的卫生学指标</w:t>
      </w:r>
      <w:r>
        <w:rPr>
          <w:rFonts w:hint="eastAsia" w:ascii="宋体" w:hAnsi="宋体" w:eastAsia="宋体" w:cs="宋体"/>
          <w:color w:val="333333"/>
          <w:kern w:val="0"/>
          <w:sz w:val="24"/>
          <w:szCs w:val="24"/>
        </w:rPr>
        <w:t>。粪污还田</w:t>
      </w:r>
      <w:r>
        <w:rPr>
          <w:rFonts w:ascii="宋体" w:hAnsi="宋体" w:eastAsia="宋体" w:cs="宋体"/>
          <w:color w:val="333333"/>
          <w:kern w:val="0"/>
          <w:sz w:val="24"/>
          <w:szCs w:val="24"/>
        </w:rPr>
        <w:t>量应</w:t>
      </w:r>
      <w:r>
        <w:rPr>
          <w:rFonts w:hint="eastAsia" w:ascii="宋体" w:hAnsi="宋体" w:eastAsia="宋体" w:cs="宋体"/>
          <w:color w:val="333333"/>
          <w:kern w:val="0"/>
          <w:sz w:val="24"/>
          <w:szCs w:val="24"/>
        </w:rPr>
        <w:t>满足</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畜禽粪污土地承载力测算技术指南</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中</w:t>
      </w:r>
      <w:r>
        <w:rPr>
          <w:rFonts w:ascii="宋体" w:hAnsi="宋体" w:eastAsia="宋体" w:cs="宋体"/>
          <w:color w:val="333333"/>
          <w:kern w:val="0"/>
          <w:sz w:val="24"/>
          <w:szCs w:val="24"/>
        </w:rPr>
        <w:t>的要求。</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畜禽尿液及</w:t>
      </w:r>
      <w:r>
        <w:rPr>
          <w:rFonts w:ascii="宋体" w:hAnsi="宋体" w:eastAsia="宋体" w:cs="宋体"/>
          <w:color w:val="333333"/>
          <w:kern w:val="0"/>
          <w:sz w:val="24"/>
          <w:szCs w:val="24"/>
        </w:rPr>
        <w:t>废水如</w:t>
      </w:r>
      <w:r>
        <w:rPr>
          <w:rFonts w:hint="eastAsia" w:ascii="宋体" w:hAnsi="宋体" w:eastAsia="宋体" w:cs="宋体"/>
          <w:color w:val="333333"/>
          <w:kern w:val="0"/>
          <w:sz w:val="24"/>
          <w:szCs w:val="24"/>
        </w:rPr>
        <w:t>无法</w:t>
      </w:r>
      <w:r>
        <w:rPr>
          <w:rFonts w:ascii="宋体" w:hAnsi="宋体" w:eastAsia="宋体" w:cs="宋体"/>
          <w:color w:val="333333"/>
          <w:kern w:val="0"/>
          <w:sz w:val="24"/>
          <w:szCs w:val="24"/>
        </w:rPr>
        <w:t>还田，需要</w:t>
      </w:r>
      <w:r>
        <w:rPr>
          <w:rFonts w:hint="eastAsia" w:ascii="宋体" w:hAnsi="宋体" w:eastAsia="宋体" w:cs="宋体"/>
          <w:color w:val="333333"/>
          <w:kern w:val="0"/>
          <w:sz w:val="24"/>
          <w:szCs w:val="24"/>
        </w:rPr>
        <w:t>排放</w:t>
      </w:r>
      <w:r>
        <w:rPr>
          <w:rFonts w:ascii="宋体" w:hAnsi="宋体" w:eastAsia="宋体" w:cs="宋体"/>
          <w:color w:val="333333"/>
          <w:kern w:val="0"/>
          <w:sz w:val="24"/>
          <w:szCs w:val="24"/>
        </w:rPr>
        <w:t>的，</w:t>
      </w:r>
      <w:r>
        <w:rPr>
          <w:rFonts w:hint="eastAsia" w:ascii="宋体" w:hAnsi="宋体" w:eastAsia="宋体" w:cs="宋体"/>
          <w:color w:val="333333"/>
          <w:kern w:val="0"/>
          <w:sz w:val="24"/>
          <w:szCs w:val="24"/>
        </w:rPr>
        <w:t>应符合《畜禽养殖业污染物排放标准》（</w:t>
      </w:r>
      <w:r>
        <w:rPr>
          <w:rFonts w:ascii="宋体" w:hAnsi="宋体" w:eastAsia="宋体" w:cs="宋体"/>
          <w:color w:val="333333"/>
          <w:kern w:val="0"/>
          <w:sz w:val="24"/>
          <w:szCs w:val="24"/>
        </w:rPr>
        <w:t>GB18596-2001</w:t>
      </w:r>
      <w:r>
        <w:rPr>
          <w:rFonts w:hint="eastAsia" w:ascii="宋体" w:hAnsi="宋体" w:eastAsia="宋体" w:cs="宋体"/>
          <w:color w:val="333333"/>
          <w:kern w:val="0"/>
          <w:sz w:val="24"/>
          <w:szCs w:val="24"/>
        </w:rPr>
        <w:t>）或</w:t>
      </w:r>
      <w:r>
        <w:rPr>
          <w:rFonts w:hint="eastAsia" w:ascii="Arial" w:hAnsi="Arial" w:eastAsia="宋体" w:cs="Arial"/>
          <w:color w:val="333333"/>
          <w:kern w:val="0"/>
          <w:sz w:val="24"/>
          <w:szCs w:val="24"/>
        </w:rPr>
        <w:t>《农田灌溉水质标准》（</w:t>
      </w:r>
      <w:r>
        <w:rPr>
          <w:rFonts w:ascii="Arial" w:hAnsi="Arial" w:eastAsia="宋体" w:cs="Arial"/>
          <w:color w:val="333333"/>
          <w:kern w:val="0"/>
          <w:sz w:val="24"/>
          <w:szCs w:val="24"/>
        </w:rPr>
        <w:t>GB5084-2021）</w:t>
      </w:r>
      <w:r>
        <w:rPr>
          <w:rFonts w:hint="eastAsia" w:ascii="Arial" w:hAnsi="Arial" w:eastAsia="宋体" w:cs="Arial"/>
          <w:color w:val="333333"/>
          <w:kern w:val="0"/>
          <w:sz w:val="24"/>
          <w:szCs w:val="24"/>
        </w:rPr>
        <w:t>。</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十六</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对畜禽养殖污染主体不明确或主体消失的现有区域污染、历史遗留污染，由区级人民政府制定整治方案并组织实施。</w:t>
      </w:r>
    </w:p>
    <w:p>
      <w:pPr>
        <w:widowControl/>
        <w:shd w:val="clear" w:color="auto" w:fill="FFFFFF"/>
        <w:spacing w:line="360" w:lineRule="auto"/>
        <w:ind w:firstLine="480" w:firstLineChars="200"/>
        <w:jc w:val="left"/>
        <w:rPr>
          <w:rFonts w:ascii="宋体" w:hAnsi="宋体" w:eastAsia="宋体" w:cs="宋体"/>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十七</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区农业农村局应充分利用行政手段、惠农政策鼓励集约饲养，支持养殖场、养殖小区标准化改造，发展种养结合和生态循环的适度规模养殖，积极引导农民使用有机肥或规模化积造的农家肥等，使资金重点向畜禽养殖废弃物资源化利用和无害化处理设施建设倾斜。</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利用市场手段推动建立企业、政府、社会多元化投入和利益分享机制，鼓励畜禽养殖污染第三方治理，提高畜禽养殖污染治理的专业化、市场化和产业化水平。</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十八</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区生态环境分局</w:t>
      </w:r>
      <w:r>
        <w:rPr>
          <w:rFonts w:ascii="Arial" w:hAnsi="Arial" w:eastAsia="宋体" w:cs="Arial"/>
          <w:color w:val="333333"/>
          <w:kern w:val="0"/>
          <w:sz w:val="24"/>
          <w:szCs w:val="24"/>
        </w:rPr>
        <w:t>、</w:t>
      </w:r>
      <w:r>
        <w:rPr>
          <w:rFonts w:hint="eastAsia" w:ascii="Arial" w:hAnsi="Arial" w:eastAsia="宋体" w:cs="Arial"/>
          <w:color w:val="333333"/>
          <w:kern w:val="0"/>
          <w:sz w:val="24"/>
          <w:szCs w:val="24"/>
        </w:rPr>
        <w:t>农业农村局</w:t>
      </w:r>
      <w:r>
        <w:rPr>
          <w:rFonts w:ascii="Arial" w:hAnsi="Arial" w:eastAsia="宋体" w:cs="Arial"/>
          <w:color w:val="333333"/>
          <w:kern w:val="0"/>
          <w:sz w:val="24"/>
          <w:szCs w:val="24"/>
        </w:rPr>
        <w:t>应当依据职责对畜禽养殖污染防治情况进行</w:t>
      </w:r>
      <w:r>
        <w:rPr>
          <w:rFonts w:hint="eastAsia" w:ascii="Arial" w:hAnsi="Arial" w:eastAsia="宋体" w:cs="Arial"/>
          <w:color w:val="333333"/>
          <w:kern w:val="0"/>
          <w:sz w:val="24"/>
          <w:szCs w:val="24"/>
        </w:rPr>
        <w:t>联合</w:t>
      </w:r>
      <w:r>
        <w:rPr>
          <w:rFonts w:ascii="Arial" w:hAnsi="Arial" w:eastAsia="宋体" w:cs="Arial"/>
          <w:color w:val="333333"/>
          <w:kern w:val="0"/>
          <w:sz w:val="24"/>
          <w:szCs w:val="24"/>
        </w:rPr>
        <w:t>监督检查，并加强对畜禽养殖污染的监测。</w:t>
      </w:r>
    </w:p>
    <w:p>
      <w:pPr>
        <w:pStyle w:val="2"/>
      </w:pPr>
      <w:bookmarkStart w:id="3" w:name="_Toc70503482"/>
      <w:r>
        <w:t xml:space="preserve">第四章 </w:t>
      </w:r>
      <w:r>
        <w:rPr>
          <w:rFonts w:hint="eastAsia"/>
        </w:rPr>
        <w:t>激励和处罚</w:t>
      </w:r>
      <w:bookmarkEnd w:id="3"/>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十九</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区财政</w:t>
      </w:r>
      <w:r>
        <w:rPr>
          <w:rFonts w:ascii="Arial" w:hAnsi="Arial" w:eastAsia="宋体" w:cs="Arial"/>
          <w:color w:val="333333"/>
          <w:kern w:val="0"/>
          <w:sz w:val="24"/>
          <w:szCs w:val="24"/>
        </w:rPr>
        <w:t>在本级财政预算中安排资金，</w:t>
      </w:r>
      <w:r>
        <w:rPr>
          <w:rFonts w:hint="eastAsia" w:ascii="Arial" w:hAnsi="Arial" w:eastAsia="宋体" w:cs="Arial"/>
          <w:color w:val="333333"/>
          <w:kern w:val="0"/>
          <w:sz w:val="24"/>
          <w:szCs w:val="24"/>
        </w:rPr>
        <w:t>鼓励</w:t>
      </w:r>
      <w:r>
        <w:rPr>
          <w:rFonts w:ascii="Arial" w:hAnsi="Arial" w:eastAsia="宋体" w:cs="Arial"/>
          <w:color w:val="333333"/>
          <w:kern w:val="0"/>
          <w:sz w:val="24"/>
          <w:szCs w:val="24"/>
        </w:rPr>
        <w:t>畜禽养殖污染防治以及畜禽养殖废弃物无害化处理和综合利用工作。</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第二十条</w:t>
      </w:r>
      <w:r>
        <w:rPr>
          <w:rFonts w:hint="eastAsia" w:ascii="宋体" w:hAnsi="宋体" w:eastAsia="宋体" w:cs="宋体"/>
          <w:color w:val="333333"/>
          <w:kern w:val="0"/>
          <w:sz w:val="24"/>
          <w:szCs w:val="24"/>
        </w:rPr>
        <w:t xml:space="preserve"> 为</w:t>
      </w:r>
      <w:r>
        <w:rPr>
          <w:rFonts w:hint="eastAsia" w:ascii="Arial" w:hAnsi="Arial" w:eastAsia="宋体" w:cs="Arial"/>
          <w:color w:val="333333"/>
          <w:kern w:val="0"/>
          <w:sz w:val="24"/>
          <w:szCs w:val="24"/>
        </w:rPr>
        <w:t>增强全区养殖业在全国整体市场竞争力，提高畜禽粪污资源化利用整体水平，尤其提高</w:t>
      </w:r>
      <w:r>
        <w:rPr>
          <w:rFonts w:ascii="Arial" w:hAnsi="Arial" w:eastAsia="宋体" w:cs="Arial"/>
          <w:color w:val="333333"/>
          <w:kern w:val="0"/>
          <w:sz w:val="24"/>
          <w:szCs w:val="24"/>
        </w:rPr>
        <w:t>全区</w:t>
      </w:r>
      <w:r>
        <w:rPr>
          <w:rFonts w:hint="eastAsia" w:ascii="Arial" w:hAnsi="Arial" w:eastAsia="宋体" w:cs="Arial"/>
          <w:color w:val="333333"/>
          <w:kern w:val="0"/>
          <w:sz w:val="24"/>
          <w:szCs w:val="24"/>
        </w:rPr>
        <w:t>畜禽</w:t>
      </w:r>
      <w:r>
        <w:rPr>
          <w:rFonts w:ascii="Arial" w:hAnsi="Arial" w:eastAsia="宋体" w:cs="Arial"/>
          <w:color w:val="333333"/>
          <w:kern w:val="0"/>
          <w:sz w:val="24"/>
          <w:szCs w:val="24"/>
        </w:rPr>
        <w:t>养殖尿液、</w:t>
      </w:r>
      <w:r>
        <w:rPr>
          <w:rFonts w:hint="eastAsia" w:ascii="Arial" w:hAnsi="Arial" w:eastAsia="宋体" w:cs="Arial"/>
          <w:color w:val="333333"/>
          <w:kern w:val="0"/>
          <w:sz w:val="24"/>
          <w:szCs w:val="24"/>
        </w:rPr>
        <w:t>污水处理率</w:t>
      </w:r>
      <w:r>
        <w:rPr>
          <w:rFonts w:ascii="Arial" w:hAnsi="Arial" w:eastAsia="宋体" w:cs="Arial"/>
          <w:color w:val="333333"/>
          <w:kern w:val="0"/>
          <w:sz w:val="24"/>
          <w:szCs w:val="24"/>
        </w:rPr>
        <w:t>及处理质量，</w:t>
      </w:r>
      <w:r>
        <w:rPr>
          <w:rFonts w:hint="eastAsia" w:ascii="宋体" w:hAnsi="宋体" w:eastAsia="宋体" w:cs="宋体"/>
          <w:color w:val="333333"/>
          <w:kern w:val="0"/>
          <w:sz w:val="24"/>
          <w:szCs w:val="24"/>
        </w:rPr>
        <w:t>畜禽养殖场（养殖小区）及分散</w:t>
      </w:r>
      <w:r>
        <w:rPr>
          <w:rFonts w:ascii="宋体" w:hAnsi="宋体" w:eastAsia="宋体" w:cs="宋体"/>
          <w:color w:val="333333"/>
          <w:kern w:val="0"/>
          <w:sz w:val="24"/>
          <w:szCs w:val="24"/>
        </w:rPr>
        <w:t>的</w:t>
      </w:r>
      <w:r>
        <w:rPr>
          <w:rFonts w:hint="eastAsia" w:ascii="宋体" w:hAnsi="宋体" w:eastAsia="宋体" w:cs="宋体"/>
          <w:color w:val="333333"/>
          <w:kern w:val="0"/>
          <w:sz w:val="24"/>
          <w:szCs w:val="24"/>
        </w:rPr>
        <w:t>养殖户应</w:t>
      </w:r>
      <w:r>
        <w:rPr>
          <w:rFonts w:hint="eastAsia" w:ascii="Arial" w:hAnsi="Arial" w:eastAsia="宋体" w:cs="Arial"/>
          <w:color w:val="333333"/>
          <w:kern w:val="0"/>
          <w:sz w:val="24"/>
          <w:szCs w:val="24"/>
        </w:rPr>
        <w:t>按</w:t>
      </w:r>
      <w:r>
        <w:rPr>
          <w:rFonts w:ascii="Arial" w:hAnsi="Arial" w:eastAsia="宋体" w:cs="Arial"/>
          <w:color w:val="333333"/>
          <w:kern w:val="0"/>
          <w:sz w:val="24"/>
          <w:szCs w:val="24"/>
        </w:rPr>
        <w:t>规定缴费</w:t>
      </w:r>
      <w:r>
        <w:rPr>
          <w:rFonts w:hint="eastAsia" w:ascii="Arial" w:hAnsi="Arial" w:eastAsia="宋体" w:cs="Arial"/>
          <w:color w:val="333333"/>
          <w:kern w:val="0"/>
          <w:sz w:val="24"/>
          <w:szCs w:val="24"/>
        </w:rPr>
        <w:t>。</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Arial" w:hAnsi="Arial" w:eastAsia="宋体" w:cs="Arial"/>
          <w:color w:val="333333"/>
          <w:kern w:val="0"/>
          <w:sz w:val="24"/>
          <w:szCs w:val="24"/>
        </w:rPr>
        <w:t>政府委托</w:t>
      </w:r>
      <w:r>
        <w:rPr>
          <w:rFonts w:ascii="Arial" w:hAnsi="Arial" w:eastAsia="宋体" w:cs="Arial"/>
          <w:color w:val="333333"/>
          <w:kern w:val="0"/>
          <w:sz w:val="24"/>
          <w:szCs w:val="24"/>
        </w:rPr>
        <w:t>第三方处理的，</w:t>
      </w:r>
      <w:r>
        <w:rPr>
          <w:rFonts w:hint="eastAsia" w:ascii="Arial" w:hAnsi="Arial" w:eastAsia="宋体" w:cs="Arial"/>
          <w:color w:val="333333"/>
          <w:kern w:val="0"/>
          <w:sz w:val="24"/>
          <w:szCs w:val="24"/>
        </w:rPr>
        <w:t>区农业农村局依据</w:t>
      </w:r>
      <w:r>
        <w:rPr>
          <w:rFonts w:ascii="Arial" w:hAnsi="Arial" w:eastAsia="宋体" w:cs="Arial"/>
          <w:color w:val="333333"/>
          <w:kern w:val="0"/>
          <w:sz w:val="24"/>
          <w:szCs w:val="24"/>
        </w:rPr>
        <w:t>第三方处理量台账</w:t>
      </w:r>
      <w:r>
        <w:rPr>
          <w:rFonts w:hint="eastAsia" w:ascii="Arial" w:hAnsi="Arial" w:eastAsia="宋体" w:cs="Arial"/>
          <w:color w:val="333333"/>
          <w:kern w:val="0"/>
          <w:sz w:val="24"/>
          <w:szCs w:val="24"/>
        </w:rPr>
        <w:t>，</w:t>
      </w:r>
      <w:r>
        <w:rPr>
          <w:rFonts w:ascii="Arial" w:hAnsi="Arial" w:eastAsia="宋体" w:cs="Arial"/>
          <w:color w:val="333333"/>
          <w:kern w:val="0"/>
          <w:sz w:val="24"/>
          <w:szCs w:val="24"/>
        </w:rPr>
        <w:t>核</w:t>
      </w:r>
      <w:r>
        <w:rPr>
          <w:rFonts w:hint="eastAsia" w:ascii="Arial" w:hAnsi="Arial" w:eastAsia="宋体" w:cs="Arial"/>
          <w:color w:val="333333"/>
          <w:kern w:val="0"/>
          <w:sz w:val="24"/>
          <w:szCs w:val="24"/>
        </w:rPr>
        <w:t>准确认</w:t>
      </w:r>
      <w:r>
        <w:rPr>
          <w:rFonts w:hint="eastAsia" w:ascii="Arial" w:hAnsi="Arial" w:eastAsia="宋体" w:cs="Arial"/>
          <w:color w:val="333333"/>
          <w:kern w:val="0"/>
          <w:sz w:val="24"/>
          <w:szCs w:val="24"/>
          <w:lang w:eastAsia="zh-CN"/>
        </w:rPr>
        <w:t>予以补助</w:t>
      </w:r>
      <w:r>
        <w:rPr>
          <w:rFonts w:hint="eastAsia" w:ascii="Arial" w:hAnsi="Arial" w:eastAsia="宋体" w:cs="Arial"/>
          <w:color w:val="333333"/>
          <w:kern w:val="0"/>
          <w:sz w:val="24"/>
          <w:szCs w:val="24"/>
        </w:rPr>
        <w:t>。</w:t>
      </w:r>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第二十</w:t>
      </w:r>
      <w:r>
        <w:rPr>
          <w:rFonts w:hint="eastAsia" w:ascii="Arial" w:hAnsi="Arial" w:eastAsia="宋体" w:cs="Arial"/>
          <w:color w:val="333333"/>
          <w:kern w:val="0"/>
          <w:sz w:val="24"/>
          <w:szCs w:val="24"/>
        </w:rPr>
        <w:t>一</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畜禽养殖污染防治工作中的有关处罚规定，遵照《中华人民共和国环境保护法》《中华人民共和国水污染防治法》《中华人民共和国畜牧法》、《中华人民共和国动物防疫法》《畜禽规模养殖污染防治条例》《水污染防治行动计划》《建设项目环境保护管理条例》等有关规定执行。</w:t>
      </w:r>
    </w:p>
    <w:p>
      <w:pPr>
        <w:pStyle w:val="2"/>
      </w:pPr>
      <w:bookmarkStart w:id="4" w:name="_Toc70503483"/>
      <w:r>
        <w:t xml:space="preserve">第五章 </w:t>
      </w:r>
      <w:r>
        <w:rPr>
          <w:rFonts w:hint="eastAsia"/>
        </w:rPr>
        <w:t>监督和</w:t>
      </w:r>
      <w:r>
        <w:t>管理</w:t>
      </w:r>
      <w:bookmarkEnd w:id="4"/>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第二十</w:t>
      </w:r>
      <w:r>
        <w:rPr>
          <w:rFonts w:hint="eastAsia" w:ascii="Arial" w:hAnsi="Arial" w:eastAsia="宋体" w:cs="Arial"/>
          <w:color w:val="333333"/>
          <w:kern w:val="0"/>
          <w:sz w:val="24"/>
          <w:szCs w:val="24"/>
        </w:rPr>
        <w:t>二</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建立以生态环境</w:t>
      </w:r>
      <w:r>
        <w:rPr>
          <w:rFonts w:hint="eastAsia" w:ascii="Arial" w:hAnsi="Arial" w:eastAsia="宋体" w:cs="Arial"/>
          <w:color w:val="333333"/>
          <w:kern w:val="0"/>
          <w:sz w:val="24"/>
          <w:szCs w:val="24"/>
          <w:lang w:eastAsia="zh-CN"/>
        </w:rPr>
        <w:t>辽中</w:t>
      </w:r>
      <w:r>
        <w:rPr>
          <w:rFonts w:hint="eastAsia" w:ascii="Arial" w:hAnsi="Arial" w:eastAsia="宋体" w:cs="Arial"/>
          <w:color w:val="333333"/>
          <w:kern w:val="0"/>
          <w:sz w:val="24"/>
          <w:szCs w:val="24"/>
        </w:rPr>
        <w:t>分局牵头，农业农村局、</w:t>
      </w:r>
      <w:r>
        <w:rPr>
          <w:rFonts w:hint="eastAsia" w:ascii="Arial" w:hAnsi="Arial" w:eastAsia="宋体" w:cs="Arial"/>
          <w:color w:val="333333"/>
          <w:kern w:val="0"/>
          <w:sz w:val="24"/>
          <w:szCs w:val="24"/>
          <w:lang w:eastAsia="zh-CN"/>
        </w:rPr>
        <w:t>城乡建设局</w:t>
      </w:r>
      <w:r>
        <w:rPr>
          <w:rFonts w:hint="eastAsia" w:ascii="Arial" w:hAnsi="Arial" w:eastAsia="宋体" w:cs="Arial"/>
          <w:color w:val="333333"/>
          <w:kern w:val="0"/>
          <w:sz w:val="24"/>
          <w:szCs w:val="24"/>
        </w:rPr>
        <w:t>、交通局、公安局等相关部门参与的日常联合执法监管体系。</w:t>
      </w:r>
    </w:p>
    <w:p>
      <w:pPr>
        <w:widowControl/>
        <w:spacing w:line="360" w:lineRule="auto"/>
        <w:ind w:firstLine="480" w:firstLineChars="200"/>
        <w:contextualSpacing/>
        <w:jc w:val="left"/>
        <w:rPr>
          <w:rFonts w:ascii="宋体" w:hAnsi="宋体" w:eastAsia="宋体" w:cs="宋体"/>
          <w:color w:val="333333"/>
          <w:kern w:val="0"/>
          <w:sz w:val="24"/>
          <w:szCs w:val="24"/>
        </w:rPr>
      </w:pPr>
      <w:r>
        <w:rPr>
          <w:rFonts w:ascii="Arial" w:hAnsi="Arial" w:eastAsia="宋体" w:cs="Arial"/>
          <w:color w:val="333333"/>
          <w:kern w:val="0"/>
          <w:sz w:val="24"/>
          <w:szCs w:val="24"/>
        </w:rPr>
        <w:t>第二十</w:t>
      </w:r>
      <w:r>
        <w:rPr>
          <w:rFonts w:hint="eastAsia" w:ascii="Arial" w:hAnsi="Arial" w:eastAsia="宋体" w:cs="Arial"/>
          <w:color w:val="333333"/>
          <w:kern w:val="0"/>
          <w:sz w:val="24"/>
          <w:szCs w:val="24"/>
        </w:rPr>
        <w:t>三</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区生态环境分局要将本行政区域内的养殖场、养殖小区纳入日常执法监管范围，强化监督性监测，及时公布监测信息。</w:t>
      </w:r>
    </w:p>
    <w:p>
      <w:pPr>
        <w:widowControl/>
        <w:shd w:val="clear" w:color="auto" w:fill="FFFFFF"/>
        <w:spacing w:line="360" w:lineRule="auto"/>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其他有关部门在各自的</w:t>
      </w:r>
      <w:r>
        <w:rPr>
          <w:rFonts w:hint="eastAsia" w:ascii="宋体" w:hAnsi="宋体" w:eastAsia="宋体" w:cs="宋体"/>
          <w:color w:val="333333"/>
          <w:kern w:val="0"/>
          <w:sz w:val="24"/>
          <w:szCs w:val="24"/>
          <w:lang w:eastAsia="zh-CN"/>
        </w:rPr>
        <w:t>职责</w:t>
      </w:r>
      <w:r>
        <w:rPr>
          <w:rFonts w:hint="eastAsia" w:ascii="宋体" w:hAnsi="宋体" w:eastAsia="宋体" w:cs="宋体"/>
          <w:color w:val="333333"/>
          <w:kern w:val="0"/>
          <w:sz w:val="24"/>
          <w:szCs w:val="24"/>
        </w:rPr>
        <w:t>范围内对畜禽养殖污染防治工作进行监管。</w:t>
      </w:r>
    </w:p>
    <w:p>
      <w:pPr>
        <w:widowControl/>
        <w:spacing w:line="360" w:lineRule="auto"/>
        <w:ind w:firstLine="480" w:firstLineChars="200"/>
        <w:contextualSpacing/>
        <w:jc w:val="left"/>
        <w:rPr>
          <w:rFonts w:ascii="Arial" w:hAnsi="Arial" w:eastAsia="宋体" w:cs="Arial"/>
          <w:color w:val="333333"/>
          <w:kern w:val="0"/>
          <w:sz w:val="24"/>
          <w:szCs w:val="24"/>
        </w:rPr>
      </w:pPr>
      <w:r>
        <w:rPr>
          <w:rFonts w:hint="eastAsia" w:ascii="宋体" w:hAnsi="宋体" w:eastAsia="宋体" w:cs="宋体"/>
          <w:color w:val="333333"/>
          <w:kern w:val="0"/>
          <w:sz w:val="24"/>
          <w:szCs w:val="24"/>
        </w:rPr>
        <w:t>各镇(街道）政府（办事处）以及村（居）委会要配合生态环境分局和农业农村局，加强对本行政区域内畜禽养殖污染及废弃物处理设施的监管。</w:t>
      </w:r>
    </w:p>
    <w:p>
      <w:pPr>
        <w:widowControl/>
        <w:shd w:val="clear" w:color="auto" w:fill="FFFFFF"/>
        <w:spacing w:line="360" w:lineRule="auto"/>
        <w:ind w:firstLine="480" w:firstLineChars="200"/>
        <w:jc w:val="left"/>
        <w:rPr>
          <w:rFonts w:hint="eastAsia" w:ascii="宋体" w:hAnsi="宋体" w:eastAsia="宋体" w:cs="宋体"/>
          <w:color w:val="333333"/>
          <w:kern w:val="0"/>
          <w:sz w:val="24"/>
          <w:szCs w:val="24"/>
          <w:lang w:val="en-US" w:eastAsia="zh-CN"/>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二</w:t>
      </w:r>
      <w:r>
        <w:rPr>
          <w:rFonts w:ascii="Arial" w:hAnsi="Arial" w:eastAsia="宋体" w:cs="Arial"/>
          <w:color w:val="333333"/>
          <w:kern w:val="0"/>
          <w:sz w:val="24"/>
          <w:szCs w:val="24"/>
        </w:rPr>
        <w:t>十</w:t>
      </w:r>
      <w:r>
        <w:rPr>
          <w:rFonts w:hint="eastAsia" w:ascii="Arial" w:hAnsi="Arial" w:eastAsia="宋体" w:cs="Arial"/>
          <w:color w:val="333333"/>
          <w:kern w:val="0"/>
          <w:sz w:val="24"/>
          <w:szCs w:val="24"/>
        </w:rPr>
        <w:t>四</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hint="eastAsia" w:ascii="宋体" w:hAnsi="宋体" w:eastAsia="宋体" w:cs="宋体"/>
          <w:color w:val="333333"/>
          <w:kern w:val="0"/>
          <w:sz w:val="24"/>
          <w:szCs w:val="24"/>
        </w:rPr>
        <w:t>区生态环境</w:t>
      </w:r>
      <w:r>
        <w:rPr>
          <w:rFonts w:hint="eastAsia" w:ascii="宋体" w:hAnsi="宋体" w:eastAsia="宋体" w:cs="宋体"/>
          <w:color w:val="333333"/>
          <w:kern w:val="0"/>
          <w:sz w:val="24"/>
          <w:szCs w:val="24"/>
          <w:lang w:eastAsia="zh-CN"/>
        </w:rPr>
        <w:t>辽中</w:t>
      </w:r>
      <w:r>
        <w:rPr>
          <w:rFonts w:hint="eastAsia" w:ascii="宋体" w:hAnsi="宋体" w:eastAsia="宋体" w:cs="宋体"/>
          <w:color w:val="333333"/>
          <w:kern w:val="0"/>
          <w:sz w:val="24"/>
          <w:szCs w:val="24"/>
        </w:rPr>
        <w:t>分</w:t>
      </w:r>
      <w:r>
        <w:rPr>
          <w:rFonts w:ascii="宋体" w:hAnsi="宋体" w:eastAsia="宋体" w:cs="宋体"/>
          <w:color w:val="333333"/>
          <w:kern w:val="0"/>
          <w:sz w:val="24"/>
          <w:szCs w:val="24"/>
        </w:rPr>
        <w:t>局</w:t>
      </w:r>
      <w:r>
        <w:rPr>
          <w:rFonts w:hint="eastAsia" w:ascii="宋体" w:hAnsi="宋体" w:eastAsia="宋体" w:cs="宋体"/>
          <w:color w:val="333333"/>
          <w:kern w:val="0"/>
          <w:sz w:val="24"/>
          <w:szCs w:val="24"/>
        </w:rPr>
        <w:t>应于每年12月底前向</w:t>
      </w:r>
      <w:r>
        <w:rPr>
          <w:rFonts w:ascii="宋体" w:hAnsi="宋体" w:eastAsia="宋体" w:cs="宋体"/>
          <w:color w:val="333333"/>
          <w:kern w:val="0"/>
          <w:sz w:val="24"/>
          <w:szCs w:val="24"/>
        </w:rPr>
        <w:t>本级人民政府</w:t>
      </w:r>
      <w:r>
        <w:rPr>
          <w:rFonts w:hint="eastAsia" w:ascii="宋体" w:hAnsi="宋体" w:eastAsia="宋体" w:cs="宋体"/>
          <w:color w:val="333333"/>
          <w:kern w:val="0"/>
          <w:sz w:val="24"/>
          <w:szCs w:val="24"/>
        </w:rPr>
        <w:t>报送本年度畜禽养殖污染防治</w:t>
      </w:r>
      <w:r>
        <w:rPr>
          <w:rFonts w:ascii="宋体" w:hAnsi="宋体" w:eastAsia="宋体" w:cs="宋体"/>
          <w:color w:val="333333"/>
          <w:kern w:val="0"/>
          <w:sz w:val="24"/>
          <w:szCs w:val="24"/>
        </w:rPr>
        <w:t>和</w:t>
      </w:r>
      <w:r>
        <w:rPr>
          <w:rFonts w:hint="eastAsia" w:ascii="宋体" w:hAnsi="宋体" w:eastAsia="宋体" w:cs="宋体"/>
          <w:color w:val="333333"/>
          <w:kern w:val="0"/>
          <w:sz w:val="24"/>
          <w:szCs w:val="24"/>
        </w:rPr>
        <w:t>监管执法情况。</w:t>
      </w:r>
      <w:r>
        <w:rPr>
          <w:rFonts w:hint="eastAsia" w:ascii="宋体" w:hAnsi="宋体" w:eastAsia="宋体" w:cs="宋体"/>
          <w:color w:val="333333"/>
          <w:kern w:val="0"/>
          <w:sz w:val="24"/>
          <w:szCs w:val="24"/>
          <w:lang w:eastAsia="zh-CN"/>
        </w:rPr>
        <w:t>区农业农村局应于每年</w:t>
      </w:r>
      <w:r>
        <w:rPr>
          <w:rFonts w:hint="eastAsia" w:ascii="宋体" w:hAnsi="宋体" w:eastAsia="宋体" w:cs="宋体"/>
          <w:color w:val="333333"/>
          <w:kern w:val="0"/>
          <w:sz w:val="24"/>
          <w:szCs w:val="24"/>
          <w:lang w:val="en-US" w:eastAsia="zh-CN"/>
        </w:rPr>
        <w:t>12月底前向本级政府报送</w:t>
      </w:r>
      <w:r>
        <w:rPr>
          <w:rFonts w:hint="eastAsia" w:ascii="宋体" w:hAnsi="宋体" w:eastAsia="宋体" w:cs="宋体"/>
          <w:color w:val="333333"/>
          <w:kern w:val="0"/>
          <w:sz w:val="24"/>
          <w:szCs w:val="24"/>
        </w:rPr>
        <w:t>畜禽养殖废弃物综合利用的指导与服务</w:t>
      </w:r>
      <w:r>
        <w:rPr>
          <w:rFonts w:hint="eastAsia" w:ascii="宋体" w:hAnsi="宋体" w:eastAsia="宋体" w:cs="宋体"/>
          <w:color w:val="333333"/>
          <w:kern w:val="0"/>
          <w:sz w:val="24"/>
          <w:szCs w:val="24"/>
          <w:lang w:eastAsia="zh-CN"/>
        </w:rPr>
        <w:t>情况。</w:t>
      </w:r>
    </w:p>
    <w:p>
      <w:pPr>
        <w:widowControl/>
        <w:spacing w:line="360" w:lineRule="auto"/>
        <w:ind w:firstLine="480" w:firstLineChars="200"/>
        <w:contextualSpacing/>
        <w:jc w:val="left"/>
        <w:rPr>
          <w:rFonts w:ascii="Arial" w:hAnsi="Arial" w:eastAsia="宋体" w:cs="Arial"/>
          <w:color w:val="333333"/>
          <w:kern w:val="0"/>
          <w:sz w:val="24"/>
          <w:szCs w:val="24"/>
        </w:rPr>
      </w:pPr>
      <w:r>
        <w:rPr>
          <w:rFonts w:ascii="Arial" w:hAnsi="Arial" w:eastAsia="宋体" w:cs="Arial"/>
          <w:color w:val="333333"/>
          <w:kern w:val="0"/>
          <w:sz w:val="24"/>
          <w:szCs w:val="24"/>
        </w:rPr>
        <w:t>第</w:t>
      </w:r>
      <w:r>
        <w:rPr>
          <w:rFonts w:hint="eastAsia" w:ascii="Arial" w:hAnsi="Arial" w:eastAsia="宋体" w:cs="Arial"/>
          <w:color w:val="333333"/>
          <w:kern w:val="0"/>
          <w:sz w:val="24"/>
          <w:szCs w:val="24"/>
        </w:rPr>
        <w:t>二</w:t>
      </w:r>
      <w:r>
        <w:rPr>
          <w:rFonts w:ascii="Arial" w:hAnsi="Arial" w:eastAsia="宋体" w:cs="Arial"/>
          <w:color w:val="333333"/>
          <w:kern w:val="0"/>
          <w:sz w:val="24"/>
          <w:szCs w:val="24"/>
        </w:rPr>
        <w:t>十</w:t>
      </w:r>
      <w:r>
        <w:rPr>
          <w:rFonts w:hint="eastAsia" w:ascii="Arial" w:hAnsi="Arial" w:eastAsia="宋体" w:cs="Arial"/>
          <w:color w:val="333333"/>
          <w:kern w:val="0"/>
          <w:sz w:val="24"/>
          <w:szCs w:val="24"/>
        </w:rPr>
        <w:t>五</w:t>
      </w:r>
      <w:r>
        <w:rPr>
          <w:rFonts w:ascii="Arial" w:hAnsi="Arial" w:eastAsia="宋体" w:cs="Arial"/>
          <w:color w:val="333333"/>
          <w:kern w:val="0"/>
          <w:sz w:val="24"/>
          <w:szCs w:val="24"/>
        </w:rPr>
        <w:t>条</w:t>
      </w:r>
      <w:r>
        <w:rPr>
          <w:rFonts w:hint="eastAsia" w:ascii="Arial" w:hAnsi="Arial" w:eastAsia="宋体" w:cs="Arial"/>
          <w:color w:val="333333"/>
          <w:kern w:val="0"/>
          <w:sz w:val="24"/>
          <w:szCs w:val="24"/>
        </w:rPr>
        <w:t xml:space="preserve"> </w:t>
      </w:r>
      <w:r>
        <w:rPr>
          <w:rFonts w:ascii="Arial" w:hAnsi="Arial" w:eastAsia="宋体" w:cs="Arial"/>
          <w:color w:val="333333"/>
          <w:kern w:val="0"/>
          <w:sz w:val="24"/>
          <w:szCs w:val="24"/>
        </w:rPr>
        <w:t>本规定自202</w:t>
      </w:r>
      <w:r>
        <w:rPr>
          <w:rFonts w:hint="eastAsia" w:ascii="Arial" w:hAnsi="Arial" w:eastAsia="宋体" w:cs="Arial"/>
          <w:color w:val="333333"/>
          <w:kern w:val="0"/>
          <w:sz w:val="24"/>
          <w:szCs w:val="24"/>
        </w:rPr>
        <w:t>3</w:t>
      </w:r>
      <w:r>
        <w:rPr>
          <w:rFonts w:ascii="Arial" w:hAnsi="Arial" w:eastAsia="宋体" w:cs="Arial"/>
          <w:color w:val="333333"/>
          <w:kern w:val="0"/>
          <w:sz w:val="24"/>
          <w:szCs w:val="24"/>
        </w:rPr>
        <w:t>年</w:t>
      </w:r>
      <w:r>
        <w:rPr>
          <w:rFonts w:hint="eastAsia" w:ascii="Arial" w:hAnsi="Arial" w:eastAsia="宋体" w:cs="Arial"/>
          <w:color w:val="333333"/>
          <w:kern w:val="0"/>
          <w:sz w:val="24"/>
          <w:szCs w:val="24"/>
          <w:lang w:val="en-US" w:eastAsia="zh-CN"/>
        </w:rPr>
        <w:t>5</w:t>
      </w:r>
      <w:r>
        <w:rPr>
          <w:rFonts w:ascii="Arial" w:hAnsi="Arial" w:eastAsia="宋体" w:cs="Arial"/>
          <w:color w:val="333333"/>
          <w:kern w:val="0"/>
          <w:sz w:val="24"/>
          <w:szCs w:val="24"/>
        </w:rPr>
        <w:t>月</w:t>
      </w:r>
      <w:r>
        <w:rPr>
          <w:rFonts w:hint="eastAsia" w:ascii="Arial" w:hAnsi="Arial" w:eastAsia="宋体" w:cs="Arial"/>
          <w:color w:val="333333"/>
          <w:kern w:val="0"/>
          <w:sz w:val="24"/>
          <w:szCs w:val="24"/>
          <w:lang w:val="en-US" w:eastAsia="zh-CN"/>
        </w:rPr>
        <w:t>15</w:t>
      </w:r>
      <w:r>
        <w:rPr>
          <w:rFonts w:ascii="Arial" w:hAnsi="Arial" w:eastAsia="宋体" w:cs="Arial"/>
          <w:color w:val="333333"/>
          <w:kern w:val="0"/>
          <w:sz w:val="24"/>
          <w:szCs w:val="24"/>
        </w:rPr>
        <w:t>日起施行。</w:t>
      </w:r>
    </w:p>
    <w:p>
      <w:pPr>
        <w:widowControl/>
        <w:jc w:val="left"/>
        <w:rPr>
          <w:rFonts w:ascii="Arial" w:hAnsi="Arial" w:eastAsia="仿宋_GB2312" w:cs="Arial"/>
          <w:b/>
          <w:sz w:val="28"/>
          <w:szCs w:val="2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081523"/>
    </w:sdtPr>
    <w:sdtContent>
      <w:p>
        <w:pPr>
          <w:pStyle w:val="9"/>
          <w:jc w:val="center"/>
        </w:pPr>
        <w:r>
          <w:fldChar w:fldCharType="begin"/>
        </w:r>
        <w:r>
          <w:instrText xml:space="preserve">PAGE   \* MERGEFORMAT</w:instrText>
        </w:r>
        <w:r>
          <w:fldChar w:fldCharType="separate"/>
        </w:r>
        <w:r>
          <w:rPr>
            <w:lang w:val="zh-CN"/>
          </w:rPr>
          <w:t>7</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0"/>
      <w:lvlText w:val="%1"/>
      <w:lvlJc w:val="left"/>
      <w:pPr>
        <w:tabs>
          <w:tab w:val="left" w:pos="360"/>
        </w:tabs>
        <w:ind w:left="340" w:hanging="340"/>
      </w:pPr>
      <w:rPr>
        <w:rFonts w:hint="eastAsia"/>
      </w:rPr>
    </w:lvl>
    <w:lvl w:ilvl="1" w:tentative="0">
      <w:start w:val="1"/>
      <w:numFmt w:val="decimal"/>
      <w:pStyle w:val="3"/>
      <w:lvlText w:val="2.%2"/>
      <w:lvlJc w:val="left"/>
      <w:pPr>
        <w:tabs>
          <w:tab w:val="left" w:pos="576"/>
        </w:tabs>
        <w:ind w:left="576" w:hanging="576"/>
      </w:pPr>
      <w:rPr>
        <w:rFonts w:hint="default" w:ascii="Arial" w:hAnsi="Arial" w:cs="Arial"/>
        <w:sz w:val="24"/>
        <w:szCs w:val="24"/>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pStyle w:val="21"/>
      <w:lvlText w:val="%1.%2.%3.%4"/>
      <w:lvlJc w:val="left"/>
      <w:pPr>
        <w:tabs>
          <w:tab w:val="left" w:pos="864"/>
        </w:tabs>
        <w:ind w:left="862" w:hanging="862"/>
      </w:pPr>
      <w:rPr>
        <w:rFonts w:hint="default" w:ascii="Arial" w:hAnsi="Arial" w:cs="Arial"/>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hODMxMjgzOTg3OGM1ZTU2ZjU5N2FkZThlMTM4NDIifQ=="/>
  </w:docVars>
  <w:rsids>
    <w:rsidRoot w:val="000C6154"/>
    <w:rsid w:val="0000497B"/>
    <w:rsid w:val="000317F7"/>
    <w:rsid w:val="00031CAB"/>
    <w:rsid w:val="00031D67"/>
    <w:rsid w:val="00040558"/>
    <w:rsid w:val="00052D45"/>
    <w:rsid w:val="00071C97"/>
    <w:rsid w:val="000721D6"/>
    <w:rsid w:val="00075B06"/>
    <w:rsid w:val="00080A56"/>
    <w:rsid w:val="00093A23"/>
    <w:rsid w:val="00094926"/>
    <w:rsid w:val="000C02A0"/>
    <w:rsid w:val="000C6154"/>
    <w:rsid w:val="000C6D92"/>
    <w:rsid w:val="000D0308"/>
    <w:rsid w:val="000D2ADC"/>
    <w:rsid w:val="000E2329"/>
    <w:rsid w:val="000E56C7"/>
    <w:rsid w:val="000E64A9"/>
    <w:rsid w:val="000F1DA5"/>
    <w:rsid w:val="000F2DC2"/>
    <w:rsid w:val="0010011A"/>
    <w:rsid w:val="00104206"/>
    <w:rsid w:val="00106D78"/>
    <w:rsid w:val="001236C0"/>
    <w:rsid w:val="0012512B"/>
    <w:rsid w:val="00127B6F"/>
    <w:rsid w:val="00127F3E"/>
    <w:rsid w:val="00137A9C"/>
    <w:rsid w:val="001437EB"/>
    <w:rsid w:val="0019626E"/>
    <w:rsid w:val="00197FD5"/>
    <w:rsid w:val="001B3311"/>
    <w:rsid w:val="001D5FA3"/>
    <w:rsid w:val="001E1AFC"/>
    <w:rsid w:val="001E22B9"/>
    <w:rsid w:val="001E2AC7"/>
    <w:rsid w:val="001E5450"/>
    <w:rsid w:val="001E6EEE"/>
    <w:rsid w:val="0021762B"/>
    <w:rsid w:val="002371B5"/>
    <w:rsid w:val="00245E90"/>
    <w:rsid w:val="0024618F"/>
    <w:rsid w:val="0026385D"/>
    <w:rsid w:val="002701AB"/>
    <w:rsid w:val="002709D2"/>
    <w:rsid w:val="0028030A"/>
    <w:rsid w:val="0028182F"/>
    <w:rsid w:val="00282F06"/>
    <w:rsid w:val="00287824"/>
    <w:rsid w:val="00297576"/>
    <w:rsid w:val="002A7377"/>
    <w:rsid w:val="002B2B28"/>
    <w:rsid w:val="002B31A0"/>
    <w:rsid w:val="002C1F35"/>
    <w:rsid w:val="002C3A7B"/>
    <w:rsid w:val="002D23D3"/>
    <w:rsid w:val="002E20A8"/>
    <w:rsid w:val="002F0FD0"/>
    <w:rsid w:val="003036B5"/>
    <w:rsid w:val="003068F9"/>
    <w:rsid w:val="00314F5A"/>
    <w:rsid w:val="00346EE3"/>
    <w:rsid w:val="003654C0"/>
    <w:rsid w:val="00370DDD"/>
    <w:rsid w:val="003755F8"/>
    <w:rsid w:val="00381294"/>
    <w:rsid w:val="00386B49"/>
    <w:rsid w:val="0039268B"/>
    <w:rsid w:val="00394552"/>
    <w:rsid w:val="003960B0"/>
    <w:rsid w:val="003B4FDB"/>
    <w:rsid w:val="003C2D1E"/>
    <w:rsid w:val="003D494A"/>
    <w:rsid w:val="003D5FAE"/>
    <w:rsid w:val="003E1447"/>
    <w:rsid w:val="003E54D2"/>
    <w:rsid w:val="003F5EB4"/>
    <w:rsid w:val="00400AF6"/>
    <w:rsid w:val="00402C48"/>
    <w:rsid w:val="00403215"/>
    <w:rsid w:val="004140BA"/>
    <w:rsid w:val="00433DC3"/>
    <w:rsid w:val="00434528"/>
    <w:rsid w:val="00435111"/>
    <w:rsid w:val="0043701A"/>
    <w:rsid w:val="004375B9"/>
    <w:rsid w:val="00444552"/>
    <w:rsid w:val="00467221"/>
    <w:rsid w:val="0047078E"/>
    <w:rsid w:val="00480233"/>
    <w:rsid w:val="004A0BAA"/>
    <w:rsid w:val="004B0184"/>
    <w:rsid w:val="004B02C8"/>
    <w:rsid w:val="004B7213"/>
    <w:rsid w:val="004C2103"/>
    <w:rsid w:val="004D084E"/>
    <w:rsid w:val="004D40CB"/>
    <w:rsid w:val="004D475A"/>
    <w:rsid w:val="004D4C09"/>
    <w:rsid w:val="004E034B"/>
    <w:rsid w:val="004E1A7C"/>
    <w:rsid w:val="004E4E3A"/>
    <w:rsid w:val="004E655E"/>
    <w:rsid w:val="004F28A2"/>
    <w:rsid w:val="00503F55"/>
    <w:rsid w:val="0050695D"/>
    <w:rsid w:val="00517036"/>
    <w:rsid w:val="0053449B"/>
    <w:rsid w:val="00536AAD"/>
    <w:rsid w:val="005438C4"/>
    <w:rsid w:val="00545AF8"/>
    <w:rsid w:val="00547960"/>
    <w:rsid w:val="00547A7D"/>
    <w:rsid w:val="0057094D"/>
    <w:rsid w:val="00582C18"/>
    <w:rsid w:val="00593EF3"/>
    <w:rsid w:val="005A44F9"/>
    <w:rsid w:val="005B55C5"/>
    <w:rsid w:val="005B7D2D"/>
    <w:rsid w:val="005C29AF"/>
    <w:rsid w:val="005D26FD"/>
    <w:rsid w:val="005E1D30"/>
    <w:rsid w:val="005F4AF6"/>
    <w:rsid w:val="006019CE"/>
    <w:rsid w:val="006032DC"/>
    <w:rsid w:val="006112BD"/>
    <w:rsid w:val="00616694"/>
    <w:rsid w:val="00617005"/>
    <w:rsid w:val="00625827"/>
    <w:rsid w:val="00650F8C"/>
    <w:rsid w:val="006523F9"/>
    <w:rsid w:val="006659E5"/>
    <w:rsid w:val="006666DC"/>
    <w:rsid w:val="006736F6"/>
    <w:rsid w:val="00677F5E"/>
    <w:rsid w:val="00682B6E"/>
    <w:rsid w:val="0069069A"/>
    <w:rsid w:val="006A0E20"/>
    <w:rsid w:val="006C2F04"/>
    <w:rsid w:val="006D0600"/>
    <w:rsid w:val="006E2A1F"/>
    <w:rsid w:val="006E4E9A"/>
    <w:rsid w:val="006F0E0A"/>
    <w:rsid w:val="006F34B1"/>
    <w:rsid w:val="00705CD3"/>
    <w:rsid w:val="007104B4"/>
    <w:rsid w:val="00716681"/>
    <w:rsid w:val="00744B62"/>
    <w:rsid w:val="0075299F"/>
    <w:rsid w:val="007556C0"/>
    <w:rsid w:val="0076039E"/>
    <w:rsid w:val="0077532C"/>
    <w:rsid w:val="00787E70"/>
    <w:rsid w:val="007978B5"/>
    <w:rsid w:val="007A4154"/>
    <w:rsid w:val="007A5519"/>
    <w:rsid w:val="007B0270"/>
    <w:rsid w:val="007B166E"/>
    <w:rsid w:val="007C23C5"/>
    <w:rsid w:val="007C4C48"/>
    <w:rsid w:val="007D7844"/>
    <w:rsid w:val="007E51F0"/>
    <w:rsid w:val="007E5F8B"/>
    <w:rsid w:val="007E69EA"/>
    <w:rsid w:val="008100B0"/>
    <w:rsid w:val="00810E08"/>
    <w:rsid w:val="00822045"/>
    <w:rsid w:val="00841C4A"/>
    <w:rsid w:val="00843131"/>
    <w:rsid w:val="00843D64"/>
    <w:rsid w:val="00854713"/>
    <w:rsid w:val="00865F1C"/>
    <w:rsid w:val="00872229"/>
    <w:rsid w:val="00897A07"/>
    <w:rsid w:val="008A170B"/>
    <w:rsid w:val="008A5D7A"/>
    <w:rsid w:val="008B105C"/>
    <w:rsid w:val="008B49B3"/>
    <w:rsid w:val="008B56CE"/>
    <w:rsid w:val="008C7B53"/>
    <w:rsid w:val="008D390A"/>
    <w:rsid w:val="0092768D"/>
    <w:rsid w:val="00927F66"/>
    <w:rsid w:val="00934460"/>
    <w:rsid w:val="00936D0F"/>
    <w:rsid w:val="009475B2"/>
    <w:rsid w:val="00950DF1"/>
    <w:rsid w:val="00962492"/>
    <w:rsid w:val="009800E2"/>
    <w:rsid w:val="00983773"/>
    <w:rsid w:val="0099739D"/>
    <w:rsid w:val="009C5DB2"/>
    <w:rsid w:val="009D309E"/>
    <w:rsid w:val="009E3725"/>
    <w:rsid w:val="009F4798"/>
    <w:rsid w:val="009F4C87"/>
    <w:rsid w:val="009F591B"/>
    <w:rsid w:val="00A021FA"/>
    <w:rsid w:val="00A02C4D"/>
    <w:rsid w:val="00A05A19"/>
    <w:rsid w:val="00A2009E"/>
    <w:rsid w:val="00A311E0"/>
    <w:rsid w:val="00A425AE"/>
    <w:rsid w:val="00A42695"/>
    <w:rsid w:val="00A43A4E"/>
    <w:rsid w:val="00A44841"/>
    <w:rsid w:val="00A60FEC"/>
    <w:rsid w:val="00A6166F"/>
    <w:rsid w:val="00A655E0"/>
    <w:rsid w:val="00A72795"/>
    <w:rsid w:val="00A807EB"/>
    <w:rsid w:val="00A87849"/>
    <w:rsid w:val="00A90F08"/>
    <w:rsid w:val="00AA527E"/>
    <w:rsid w:val="00AA53D3"/>
    <w:rsid w:val="00AB5C79"/>
    <w:rsid w:val="00AC1756"/>
    <w:rsid w:val="00AC79F6"/>
    <w:rsid w:val="00AD46B4"/>
    <w:rsid w:val="00AD5506"/>
    <w:rsid w:val="00AE0B30"/>
    <w:rsid w:val="00AE60B0"/>
    <w:rsid w:val="00AE6A01"/>
    <w:rsid w:val="00AE6FAD"/>
    <w:rsid w:val="00AE7E48"/>
    <w:rsid w:val="00AF3BD8"/>
    <w:rsid w:val="00AF4918"/>
    <w:rsid w:val="00B07EA4"/>
    <w:rsid w:val="00B125BE"/>
    <w:rsid w:val="00B2332F"/>
    <w:rsid w:val="00B32EAE"/>
    <w:rsid w:val="00B34373"/>
    <w:rsid w:val="00B369D5"/>
    <w:rsid w:val="00B37A0C"/>
    <w:rsid w:val="00B5552C"/>
    <w:rsid w:val="00B61FC5"/>
    <w:rsid w:val="00B65CF5"/>
    <w:rsid w:val="00B65F61"/>
    <w:rsid w:val="00B671CE"/>
    <w:rsid w:val="00B67915"/>
    <w:rsid w:val="00B72324"/>
    <w:rsid w:val="00B86082"/>
    <w:rsid w:val="00BA0E3D"/>
    <w:rsid w:val="00BC0940"/>
    <w:rsid w:val="00BC6117"/>
    <w:rsid w:val="00BD446D"/>
    <w:rsid w:val="00BE37CD"/>
    <w:rsid w:val="00C16C47"/>
    <w:rsid w:val="00C206A0"/>
    <w:rsid w:val="00C30797"/>
    <w:rsid w:val="00C31775"/>
    <w:rsid w:val="00C547B6"/>
    <w:rsid w:val="00C63A5D"/>
    <w:rsid w:val="00C65A98"/>
    <w:rsid w:val="00C6752D"/>
    <w:rsid w:val="00C72D3C"/>
    <w:rsid w:val="00C83138"/>
    <w:rsid w:val="00C84C15"/>
    <w:rsid w:val="00CA786B"/>
    <w:rsid w:val="00CB67FE"/>
    <w:rsid w:val="00CB7CB8"/>
    <w:rsid w:val="00CC18D8"/>
    <w:rsid w:val="00CC530D"/>
    <w:rsid w:val="00CD0F0C"/>
    <w:rsid w:val="00CE6C49"/>
    <w:rsid w:val="00CF5693"/>
    <w:rsid w:val="00D00B36"/>
    <w:rsid w:val="00D0659D"/>
    <w:rsid w:val="00D12615"/>
    <w:rsid w:val="00D15329"/>
    <w:rsid w:val="00D23119"/>
    <w:rsid w:val="00D25F79"/>
    <w:rsid w:val="00D3255C"/>
    <w:rsid w:val="00D33358"/>
    <w:rsid w:val="00D61AE0"/>
    <w:rsid w:val="00D770DE"/>
    <w:rsid w:val="00D80B96"/>
    <w:rsid w:val="00D81BFB"/>
    <w:rsid w:val="00D84A70"/>
    <w:rsid w:val="00DA5198"/>
    <w:rsid w:val="00DA5B8A"/>
    <w:rsid w:val="00DB5C80"/>
    <w:rsid w:val="00DC099E"/>
    <w:rsid w:val="00DC5CD3"/>
    <w:rsid w:val="00DD1DBF"/>
    <w:rsid w:val="00DD3EC6"/>
    <w:rsid w:val="00DD521D"/>
    <w:rsid w:val="00DD7C27"/>
    <w:rsid w:val="00DE2C09"/>
    <w:rsid w:val="00DE6CB0"/>
    <w:rsid w:val="00DF65F7"/>
    <w:rsid w:val="00E1094D"/>
    <w:rsid w:val="00E12C58"/>
    <w:rsid w:val="00E32A57"/>
    <w:rsid w:val="00E456A9"/>
    <w:rsid w:val="00E50756"/>
    <w:rsid w:val="00E5469F"/>
    <w:rsid w:val="00E559FA"/>
    <w:rsid w:val="00E62F26"/>
    <w:rsid w:val="00E670E7"/>
    <w:rsid w:val="00E76D67"/>
    <w:rsid w:val="00E77341"/>
    <w:rsid w:val="00E85597"/>
    <w:rsid w:val="00E94D8A"/>
    <w:rsid w:val="00EA385D"/>
    <w:rsid w:val="00EA661D"/>
    <w:rsid w:val="00ED0859"/>
    <w:rsid w:val="00ED42B7"/>
    <w:rsid w:val="00EE5BCC"/>
    <w:rsid w:val="00EE755B"/>
    <w:rsid w:val="00EF29C0"/>
    <w:rsid w:val="00EF7E08"/>
    <w:rsid w:val="00F0110F"/>
    <w:rsid w:val="00F03E2A"/>
    <w:rsid w:val="00F040C8"/>
    <w:rsid w:val="00F06794"/>
    <w:rsid w:val="00F40D7A"/>
    <w:rsid w:val="00F414E1"/>
    <w:rsid w:val="00F444E5"/>
    <w:rsid w:val="00F54750"/>
    <w:rsid w:val="00F55DAC"/>
    <w:rsid w:val="00F67977"/>
    <w:rsid w:val="00F731B9"/>
    <w:rsid w:val="00F81953"/>
    <w:rsid w:val="00F96C49"/>
    <w:rsid w:val="00FA5299"/>
    <w:rsid w:val="00FB2130"/>
    <w:rsid w:val="00FD0637"/>
    <w:rsid w:val="00FE5E23"/>
    <w:rsid w:val="00FF0A25"/>
    <w:rsid w:val="00FF2C14"/>
    <w:rsid w:val="00FF5E1A"/>
    <w:rsid w:val="043D78A9"/>
    <w:rsid w:val="04A44264"/>
    <w:rsid w:val="0857707C"/>
    <w:rsid w:val="0AF0408F"/>
    <w:rsid w:val="1DF60118"/>
    <w:rsid w:val="348E761E"/>
    <w:rsid w:val="36641846"/>
    <w:rsid w:val="39924D42"/>
    <w:rsid w:val="5436494A"/>
    <w:rsid w:val="5ED51BB9"/>
    <w:rsid w:val="67392228"/>
    <w:rsid w:val="728C21C7"/>
    <w:rsid w:val="75D20D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rFonts w:ascii="Arial" w:hAnsi="Arial" w:eastAsia="宋体"/>
      <w:b/>
      <w:bCs/>
      <w:kern w:val="44"/>
      <w:sz w:val="28"/>
      <w:szCs w:val="44"/>
    </w:rPr>
  </w:style>
  <w:style w:type="paragraph" w:styleId="3">
    <w:name w:val="heading 2"/>
    <w:basedOn w:val="1"/>
    <w:next w:val="4"/>
    <w:link w:val="18"/>
    <w:qFormat/>
    <w:uiPriority w:val="0"/>
    <w:pPr>
      <w:keepNext/>
      <w:keepLines/>
      <w:numPr>
        <w:ilvl w:val="1"/>
        <w:numId w:val="1"/>
      </w:numPr>
      <w:tabs>
        <w:tab w:val="left" w:pos="709"/>
      </w:tabs>
      <w:spacing w:beforeLines="50" w:after="120" w:line="360" w:lineRule="auto"/>
      <w:contextualSpacing/>
      <w:outlineLvl w:val="1"/>
    </w:pPr>
    <w:rPr>
      <w:rFonts w:ascii="Arial" w:hAnsi="黑体" w:eastAsia="黑体" w:cs="Arial"/>
      <w:bCs/>
      <w:sz w:val="28"/>
      <w:szCs w:val="28"/>
    </w:rPr>
  </w:style>
  <w:style w:type="paragraph" w:styleId="5">
    <w:name w:val="heading 3"/>
    <w:basedOn w:val="1"/>
    <w:next w:val="1"/>
    <w:link w:val="19"/>
    <w:qFormat/>
    <w:uiPriority w:val="0"/>
    <w:pPr>
      <w:keepNext/>
      <w:keepLines/>
      <w:numPr>
        <w:ilvl w:val="2"/>
        <w:numId w:val="1"/>
      </w:numPr>
      <w:spacing w:before="260" w:after="260" w:line="415" w:lineRule="auto"/>
      <w:outlineLvl w:val="2"/>
    </w:pPr>
    <w:rPr>
      <w:rFonts w:ascii="Arial" w:hAnsi="Arial" w:eastAsia="宋体" w:cs="Times New Roman"/>
      <w:b/>
      <w:bCs/>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6">
    <w:name w:val="toc 3"/>
    <w:basedOn w:val="1"/>
    <w:next w:val="1"/>
    <w:unhideWhenUsed/>
    <w:qFormat/>
    <w:uiPriority w:val="39"/>
    <w:pPr>
      <w:ind w:left="840" w:leftChars="400"/>
    </w:pPr>
  </w:style>
  <w:style w:type="paragraph" w:styleId="7">
    <w:name w:val="Date"/>
    <w:basedOn w:val="1"/>
    <w:next w:val="1"/>
    <w:link w:val="27"/>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rPr>
  </w:style>
  <w:style w:type="character" w:customStyle="1" w:styleId="17">
    <w:name w:val="NormalCharacter"/>
    <w:semiHidden/>
    <w:qFormat/>
    <w:uiPriority w:val="0"/>
  </w:style>
  <w:style w:type="character" w:customStyle="1" w:styleId="18">
    <w:name w:val="标题 2 Char"/>
    <w:basedOn w:val="15"/>
    <w:link w:val="3"/>
    <w:qFormat/>
    <w:uiPriority w:val="0"/>
    <w:rPr>
      <w:rFonts w:ascii="Arial" w:hAnsi="黑体" w:eastAsia="黑体" w:cs="Arial"/>
      <w:bCs/>
      <w:sz w:val="28"/>
      <w:szCs w:val="28"/>
    </w:rPr>
  </w:style>
  <w:style w:type="character" w:customStyle="1" w:styleId="19">
    <w:name w:val="标题 3 Char"/>
    <w:basedOn w:val="15"/>
    <w:link w:val="5"/>
    <w:qFormat/>
    <w:uiPriority w:val="0"/>
    <w:rPr>
      <w:rFonts w:ascii="Arial" w:hAnsi="Arial" w:eastAsia="宋体" w:cs="Times New Roman"/>
      <w:b/>
      <w:bCs/>
      <w:sz w:val="24"/>
      <w:szCs w:val="32"/>
    </w:rPr>
  </w:style>
  <w:style w:type="paragraph" w:customStyle="1" w:styleId="20">
    <w:name w:val="CSD-标题 1"/>
    <w:basedOn w:val="1"/>
    <w:qFormat/>
    <w:uiPriority w:val="0"/>
    <w:pPr>
      <w:keepNext/>
      <w:keepLines/>
      <w:numPr>
        <w:ilvl w:val="0"/>
        <w:numId w:val="1"/>
      </w:numPr>
      <w:tabs>
        <w:tab w:val="left" w:pos="-4253"/>
      </w:tabs>
      <w:spacing w:before="120" w:after="120" w:line="360" w:lineRule="auto"/>
      <w:contextualSpacing/>
      <w:outlineLvl w:val="0"/>
    </w:pPr>
    <w:rPr>
      <w:rFonts w:ascii="Arial" w:hAnsi="黑体" w:eastAsia="黑体" w:cs="Arial"/>
      <w:bCs/>
      <w:sz w:val="30"/>
      <w:szCs w:val="30"/>
    </w:rPr>
  </w:style>
  <w:style w:type="paragraph" w:customStyle="1" w:styleId="21">
    <w:name w:val="样式1"/>
    <w:basedOn w:val="1"/>
    <w:qFormat/>
    <w:uiPriority w:val="0"/>
    <w:pPr>
      <w:numPr>
        <w:ilvl w:val="3"/>
        <w:numId w:val="1"/>
      </w:numPr>
      <w:tabs>
        <w:tab w:val="left" w:pos="993"/>
      </w:tabs>
      <w:spacing w:beforeLines="50" w:afterLines="50" w:line="360" w:lineRule="auto"/>
      <w:contextualSpacing/>
      <w:jc w:val="left"/>
    </w:pPr>
    <w:rPr>
      <w:rFonts w:ascii="Arial" w:hAnsi="Arial" w:eastAsia="仿宋_GB2312" w:cs="Arial"/>
      <w:sz w:val="24"/>
      <w:szCs w:val="20"/>
    </w:rPr>
  </w:style>
  <w:style w:type="paragraph" w:styleId="22">
    <w:name w:val="List Paragraph"/>
    <w:basedOn w:val="1"/>
    <w:qFormat/>
    <w:uiPriority w:val="34"/>
    <w:pPr>
      <w:ind w:firstLine="420" w:firstLineChars="200"/>
    </w:pPr>
  </w:style>
  <w:style w:type="character" w:customStyle="1" w:styleId="23">
    <w:name w:val="页眉 Char"/>
    <w:basedOn w:val="15"/>
    <w:link w:val="10"/>
    <w:qFormat/>
    <w:uiPriority w:val="99"/>
    <w:rPr>
      <w:sz w:val="18"/>
      <w:szCs w:val="18"/>
    </w:rPr>
  </w:style>
  <w:style w:type="character" w:customStyle="1" w:styleId="24">
    <w:name w:val="页脚 Char"/>
    <w:basedOn w:val="15"/>
    <w:link w:val="9"/>
    <w:qFormat/>
    <w:uiPriority w:val="99"/>
    <w:rPr>
      <w:sz w:val="18"/>
      <w:szCs w:val="18"/>
    </w:rPr>
  </w:style>
  <w:style w:type="character" w:customStyle="1" w:styleId="25">
    <w:name w:val="标题 1 Char"/>
    <w:basedOn w:val="15"/>
    <w:link w:val="2"/>
    <w:qFormat/>
    <w:uiPriority w:val="9"/>
    <w:rPr>
      <w:rFonts w:ascii="Arial" w:hAnsi="Arial" w:eastAsia="宋体"/>
      <w:b/>
      <w:bCs/>
      <w:kern w:val="44"/>
      <w:sz w:val="28"/>
      <w:szCs w:val="44"/>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7">
    <w:name w:val="日期 Char"/>
    <w:basedOn w:val="15"/>
    <w:link w:val="7"/>
    <w:semiHidden/>
    <w:qFormat/>
    <w:uiPriority w:val="99"/>
  </w:style>
  <w:style w:type="character" w:customStyle="1" w:styleId="28">
    <w:name w:val="批注框文本 Char"/>
    <w:basedOn w:val="15"/>
    <w:link w:val="8"/>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BE10-2B5C-4707-AD29-C367FA3C5BAC}">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3838</Words>
  <Characters>3949</Characters>
  <Lines>27</Lines>
  <Paragraphs>7</Paragraphs>
  <TotalTime>26</TotalTime>
  <ScaleCrop>false</ScaleCrop>
  <LinksUpToDate>false</LinksUpToDate>
  <CharactersWithSpaces>3980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2021-03-17T07:46:00Z</dcterms:created>
  <dc:creator>王佳彬(Wang Jiabin 中化节能);任朔(Ren Shuo 中化环境)</dc:creator>
  <cp:lastModifiedBy>杨铭芷</cp:lastModifiedBy>
  <cp:lastPrinted>2023-05-05T01:59:00Z</cp:lastPrinted>
  <dcterms:modified xsi:type="dcterms:W3CDTF">2023-05-25T07:21:01Z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B53B2361515C426F8E847D27ECC37248</vt:lpwstr>
  </property>
</Properties>
</file>