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沈阳市辽中区商务局2019年度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政府信息公开工作报告</w:t>
      </w:r>
    </w:p>
    <w:p>
      <w:pPr>
        <w:ind w:firstLine="883" w:firstLineChars="200"/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ind w:firstLine="640" w:firstLineChars="20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一、总体情况</w:t>
      </w:r>
    </w:p>
    <w:p>
      <w:pPr>
        <w:widowControl/>
        <w:spacing w:line="580" w:lineRule="atLeast"/>
        <w:ind w:firstLine="64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，辽中区商务局以习近平新时代中国特色社会主义思想为指导，全面贯彻党的十九大和十九届二中、三中、四中全会精神，深入落实国家和省、市有关决策部署和新修订《中华人民共和国政府信息公开条例》，紧紧围绕国家、省、市、区2019年政务公开重点工作安排，扎实推进决策、执行、管理、服务、学科建设“五公开”，较好地完成了政府信息公开工作。</w:t>
      </w:r>
    </w:p>
    <w:p>
      <w:pPr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(一)主动公开情况</w:t>
      </w:r>
    </w:p>
    <w:p>
      <w:pPr>
        <w:widowControl/>
        <w:spacing w:line="580" w:lineRule="atLeast"/>
        <w:ind w:firstLine="64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我局结合实际，通过区政府门户网站“政务公开重点工作专栏”、“部门工作”、市民服务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中心窗口，</w:t>
      </w:r>
      <w:r>
        <w:rPr>
          <w:rFonts w:hint="eastAsia" w:ascii="仿宋" w:hAnsi="仿宋" w:eastAsia="仿宋"/>
          <w:sz w:val="32"/>
          <w:szCs w:val="32"/>
        </w:rPr>
        <w:t>按照“五公开”要求，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积极推进政务信息公开工作，重点公开本局应公开的信息，包括年度工作报告、财务预决算、领导班子成员信息、科室职责及分工；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招商引资政策、办理“进出口经营企业”指南、APEC商务旅行卡申办使用手册等。</w:t>
      </w:r>
      <w:r>
        <w:rPr>
          <w:rFonts w:hint="eastAsia" w:ascii="仿宋" w:hAnsi="仿宋" w:eastAsia="仿宋"/>
          <w:sz w:val="32"/>
          <w:szCs w:val="32"/>
        </w:rPr>
        <w:t>全年，我局共上报信息46条，其内容包括工作动态、审批事项、招商引资、利用外资、对外贸易、重要会议、活动情况和内部管理事项等。其中被区政府采纳9条信息，并在政府网站进行公开发布。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 xml:space="preserve"> </w:t>
      </w:r>
    </w:p>
    <w:p>
      <w:pPr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(二)依申请公开情况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商务局2019年在政府网站没有涉及依申请公开事项，如今后有该事项将严格按照政府信息依申请公开的办复流程办理。</w:t>
      </w:r>
    </w:p>
    <w:p>
      <w:pPr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(三)回应社会关切情况</w:t>
      </w:r>
    </w:p>
    <w:p>
      <w:pPr>
        <w:widowControl/>
        <w:spacing w:line="580" w:lineRule="atLeast"/>
        <w:ind w:firstLine="64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2019年度，我区共答复人大代表建议3件，政协提案1件，均在办理时限内办结，代表委员满意率达到100%。</w:t>
      </w:r>
    </w:p>
    <w:p>
      <w:pPr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(四)政策解读情况</w:t>
      </w: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2019年，按照省、市、区政务公开工作要求，合理设置政策解读方式。一是利用“5·15政务公开日”宣传活动，做好政策解读。活动中在商业街设咨询台1个，制作宣传展板2块，</w:t>
      </w:r>
      <w:r>
        <w:rPr>
          <w:rFonts w:hint="eastAsia" w:ascii="仿宋" w:hAnsi="仿宋" w:eastAsia="仿宋" w:cstheme="minorEastAsia"/>
          <w:sz w:val="32"/>
          <w:szCs w:val="32"/>
        </w:rPr>
        <w:t>全面公开了商务局各部门职责、部门负责人及办公电话，便于群众了解商务局业务职能。并向经过群众发放了办理“进出口经营企业”宣传指南200份，方便群众了解外经贸政策</w:t>
      </w:r>
      <w:r>
        <w:rPr>
          <w:rFonts w:hint="eastAsia" w:ascii="仿宋" w:hAnsi="仿宋" w:eastAsia="仿宋"/>
          <w:sz w:val="32"/>
          <w:szCs w:val="32"/>
        </w:rPr>
        <w:t>，现场解答群众提出的问题50余人次。二是开展万人进万企活动，深入企业，为企业送去最新政策及权威解读。架起政府机关与企业之间了一座沟通的桥梁，宣传最新政策，解答相关问题，做到真正的了解，共同进步。三是开展进社区、进农村活动，深入基层、走近群众，解答贴近百姓生活的政策问题。</w:t>
      </w:r>
    </w:p>
    <w:p>
      <w:pPr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(五)政务公开工作培训情况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我局积极参加区政府召开的政务公开培训会议，通过单位机关会议、办公群等方式，在单位内部传达政务信息公开工作的相关知识，强调政务公开工作的重要性。</w:t>
      </w:r>
    </w:p>
    <w:p>
      <w:pPr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（六）网站检查情况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由专人负责我局在政府网站公开的各种信息的上传、修改和完善工作。发现问题及时上报给主管领导，并责成相关科室进行整改，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保证公开信息的及时性、准确性和有效性。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6"/>
        <w:tblpPr w:leftFromText="180" w:rightFromText="180" w:vertAnchor="text" w:horzAnchor="page" w:tblpX="2042" w:tblpY="613"/>
        <w:tblOverlap w:val="never"/>
        <w:tblW w:w="8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本年新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制作数量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本年新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 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eastAsia="仿宋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 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eastAsia="仿宋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0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eastAsia="仿宋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0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7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2835"/>
        <w:gridCol w:w="709"/>
        <w:gridCol w:w="850"/>
        <w:gridCol w:w="709"/>
        <w:gridCol w:w="851"/>
        <w:gridCol w:w="850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5245" w:type="dxa"/>
            <w:gridSpan w:val="7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4219" w:type="dxa"/>
            <w:gridSpan w:val="3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科研机构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其他</w:t>
            </w:r>
          </w:p>
        </w:tc>
        <w:tc>
          <w:tcPr>
            <w:tcW w:w="709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219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一、本年新收到政府信息公开申请数量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219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二、上年结转政府信息公开数量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1.属于国家秘密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3.危机“三安全一稳定”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4.保护第三方合法权益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5.属于三类内部事务信息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6.属于四类过程性信息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7.属于行政法案卷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8.属于行政查询事项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34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2.没有现成信息需另行制作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3.补正后申请内容仍不明确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2835" w:type="dxa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1.信访举报投诉类申请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2.重复申请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3.要求提供公开出版物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4.无正当理由大量反复申请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7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20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6240" w:type="dxa"/>
            <w:gridSpan w:val="1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总计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总计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我局人员少，工作量大，无法配备专职人员，所以工作人员的业务水平需进一步加强。下一步，区商务局将认真按照《中华人民共和国政府信息公开条例》和省、市、区有关政府信息依申请公开工作要求，深化政府信息公开，做好主动公开和依申请公开工作，充分保障人民群众知情权、参与权和监督权。同时加强政务信息公开工作人员的业务培训，提高工作能力和业务水平。</w:t>
      </w:r>
    </w:p>
    <w:p>
      <w:pPr>
        <w:ind w:firstLine="640" w:firstLineChars="200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沈阳市辽中区商务局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2020年2月20日</w:t>
      </w: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5EEC"/>
    <w:rsid w:val="00021A0B"/>
    <w:rsid w:val="001D15EF"/>
    <w:rsid w:val="002659E5"/>
    <w:rsid w:val="00386164"/>
    <w:rsid w:val="00427D38"/>
    <w:rsid w:val="00531BA5"/>
    <w:rsid w:val="0054215B"/>
    <w:rsid w:val="00594069"/>
    <w:rsid w:val="00A20A99"/>
    <w:rsid w:val="00AD179D"/>
    <w:rsid w:val="00B15EEC"/>
    <w:rsid w:val="00B80D58"/>
    <w:rsid w:val="00D6386F"/>
    <w:rsid w:val="00F5381E"/>
    <w:rsid w:val="00F76A01"/>
    <w:rsid w:val="00F9746E"/>
    <w:rsid w:val="00FA20B1"/>
    <w:rsid w:val="068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2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link w:val="3"/>
    <w:uiPriority w:val="0"/>
    <w:rPr>
      <w:rFonts w:ascii="Calibri" w:hAnsi="Calibri"/>
      <w:sz w:val="18"/>
      <w:szCs w:val="18"/>
    </w:rPr>
  </w:style>
  <w:style w:type="character" w:customStyle="1" w:styleId="10">
    <w:name w:val="页脚 Char1"/>
    <w:basedOn w:val="8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标题 4 Char"/>
    <w:link w:val="2"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393</Words>
  <Characters>2242</Characters>
  <Lines>18</Lines>
  <Paragraphs>5</Paragraphs>
  <TotalTime>36</TotalTime>
  <ScaleCrop>false</ScaleCrop>
  <LinksUpToDate>false</LinksUpToDate>
  <CharactersWithSpaces>2630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2020-02-21T06:06:00Z</dcterms:created>
  <dc:creator>admin03</dc:creator>
  <cp:lastModifiedBy>Administrator</cp:lastModifiedBy>
  <dcterms:modified xsi:type="dcterms:W3CDTF">2020-02-27T08:26:56Z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