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line="360" w:lineRule="auto"/>
        <w:jc w:val="center"/>
        <w:textAlignment w:val="auto"/>
        <w:rPr>
          <w:rFonts w:hint="eastAsia" w:ascii="宋体" w:hAnsi="宋体" w:eastAsia="宋体" w:cs="宋体"/>
          <w:b/>
          <w:bCs/>
          <w:sz w:val="44"/>
          <w:szCs w:val="44"/>
        </w:rPr>
      </w:pPr>
      <w:bookmarkStart w:id="0" w:name="_GoBack"/>
      <w:r>
        <w:rPr>
          <w:rFonts w:hint="eastAsia" w:ascii="宋体" w:hAnsi="宋体" w:eastAsia="宋体" w:cs="宋体"/>
          <w:b/>
          <w:bCs/>
          <w:sz w:val="44"/>
          <w:szCs w:val="44"/>
        </w:rPr>
        <w:t>辽中区营商环境建设局</w:t>
      </w:r>
    </w:p>
    <w:p>
      <w:pPr>
        <w:keepNext w:val="0"/>
        <w:keepLines w:val="0"/>
        <w:pageBreakBefore w:val="0"/>
        <w:kinsoku/>
        <w:wordWrap/>
        <w:overflowPunct/>
        <w:topLinePunct w:val="0"/>
        <w:autoSpaceDE/>
        <w:autoSpaceDN/>
        <w:bidi w:val="0"/>
        <w:adjustRightInd/>
        <w:snapToGrid/>
        <w:spacing w:beforeAutospacing="0" w:line="360" w:lineRule="auto"/>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2019年度政府信息公开工作年度报告</w:t>
      </w:r>
    </w:p>
    <w:bookmarkEnd w:id="0"/>
    <w:p>
      <w:pPr>
        <w:keepNext w:val="0"/>
        <w:keepLines w:val="0"/>
        <w:pageBreakBefore w:val="0"/>
        <w:kinsoku/>
        <w:wordWrap/>
        <w:overflowPunct/>
        <w:topLinePunct w:val="0"/>
        <w:autoSpaceDE/>
        <w:autoSpaceDN/>
        <w:bidi w:val="0"/>
        <w:adjustRightInd/>
        <w:snapToGrid/>
        <w:spacing w:beforeAutospacing="0" w:line="360" w:lineRule="auto"/>
        <w:textAlignment w:val="auto"/>
        <w:rPr>
          <w:rFonts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snapToGrid/>
        <w:spacing w:beforeAutospacing="0" w:line="360" w:lineRule="auto"/>
        <w:ind w:firstLine="640" w:firstLineChars="200"/>
        <w:textAlignment w:val="auto"/>
        <w:rPr>
          <w:rFonts w:ascii="黑体" w:hAnsi="黑体" w:eastAsia="黑体" w:cs="Times New Roman"/>
          <w:color w:val="auto"/>
          <w:sz w:val="32"/>
          <w:szCs w:val="32"/>
        </w:rPr>
      </w:pPr>
      <w:r>
        <w:rPr>
          <w:rFonts w:hint="eastAsia" w:ascii="黑体" w:hAnsi="黑体" w:eastAsia="黑体" w:cs="Times New Roman"/>
          <w:color w:val="auto"/>
          <w:sz w:val="32"/>
          <w:szCs w:val="32"/>
        </w:rPr>
        <w:t>一、总体情况</w:t>
      </w:r>
    </w:p>
    <w:p>
      <w:pPr>
        <w:keepNext w:val="0"/>
        <w:keepLines w:val="0"/>
        <w:pageBreakBefore w:val="0"/>
        <w:widowControl/>
        <w:kinsoku/>
        <w:wordWrap/>
        <w:overflowPunct/>
        <w:topLinePunct w:val="0"/>
        <w:autoSpaceDE/>
        <w:autoSpaceDN/>
        <w:bidi w:val="0"/>
        <w:adjustRightInd/>
        <w:snapToGrid/>
        <w:spacing w:beforeAutospacing="0" w:line="360" w:lineRule="auto"/>
        <w:ind w:firstLine="640" w:firstLineChars="200"/>
        <w:jc w:val="left"/>
        <w:textAlignment w:val="auto"/>
        <w:rPr>
          <w:rFonts w:ascii="仿宋" w:hAnsi="仿宋" w:eastAsia="仿宋" w:cs="宋体"/>
          <w:color w:val="auto"/>
          <w:kern w:val="0"/>
          <w:sz w:val="32"/>
          <w:szCs w:val="32"/>
        </w:rPr>
      </w:pPr>
      <w:r>
        <w:rPr>
          <w:rFonts w:hint="eastAsia" w:ascii="仿宋" w:hAnsi="仿宋" w:eastAsia="仿宋" w:cs="仿宋"/>
          <w:color w:val="auto"/>
          <w:sz w:val="32"/>
          <w:szCs w:val="32"/>
        </w:rPr>
        <w:t>按照《中华人民共和国政府信息公开条例》（以下简称《条例》）的规定，根据《国务院办公厅政府信息与政务公开办公室关于政府信息公开工作年度报告有关事项的通知》（国办公开办函〔2019〕60号）、《辽宁省人民政府办公厅关于做好2019年度政府信息公开工作报告编制发布等工作的通知》（辽政办明电〔2019〕34号）及沈阳市政务公开工作的相关指示要求，结合区委、区政府的工作安排，本年度我中心积极推进政务公开工作，</w:t>
      </w:r>
      <w:r>
        <w:rPr>
          <w:rFonts w:hint="eastAsia" w:ascii="仿宋" w:hAnsi="仿宋" w:eastAsia="仿宋" w:cs="Times New Roman"/>
          <w:color w:val="auto"/>
          <w:sz w:val="32"/>
          <w:szCs w:val="32"/>
        </w:rPr>
        <w:t>全面开展政务信息公开和重点领域信息公开，开展政策文件解读，回应社会关切，注重制度机制建设，取得了较好的实效。</w:t>
      </w:r>
      <w:r>
        <w:rPr>
          <w:rFonts w:hint="eastAsia" w:ascii="仿宋" w:hAnsi="仿宋" w:eastAsia="仿宋"/>
          <w:color w:val="auto"/>
          <w:sz w:val="32"/>
          <w:szCs w:val="32"/>
        </w:rPr>
        <w:t>主动公开政府信息。2019年</w:t>
      </w:r>
      <w:r>
        <w:rPr>
          <w:rFonts w:hint="eastAsia" w:ascii="仿宋" w:hAnsi="仿宋" w:eastAsia="仿宋" w:cs="Times New Roman"/>
          <w:color w:val="auto"/>
          <w:sz w:val="32"/>
          <w:szCs w:val="32"/>
        </w:rPr>
        <w:t>在辽中区政府</w:t>
      </w:r>
      <w:r>
        <w:rPr>
          <w:rFonts w:hint="eastAsia" w:ascii="仿宋" w:hAnsi="仿宋" w:eastAsia="仿宋"/>
          <w:color w:val="auto"/>
          <w:sz w:val="32"/>
          <w:szCs w:val="32"/>
        </w:rPr>
        <w:t>门户网站公开工作</w:t>
      </w:r>
      <w:r>
        <w:rPr>
          <w:rFonts w:hint="eastAsia" w:ascii="仿宋" w:hAnsi="仿宋" w:eastAsia="仿宋" w:cs="Times New Roman"/>
          <w:color w:val="auto"/>
          <w:sz w:val="32"/>
          <w:szCs w:val="32"/>
        </w:rPr>
        <w:t>信息1</w:t>
      </w:r>
      <w:r>
        <w:rPr>
          <w:rFonts w:ascii="仿宋" w:hAnsi="仿宋" w:eastAsia="仿宋" w:cs="Times New Roman"/>
          <w:color w:val="auto"/>
          <w:sz w:val="32"/>
          <w:szCs w:val="32"/>
        </w:rPr>
        <w:t>5</w:t>
      </w:r>
      <w:r>
        <w:rPr>
          <w:rFonts w:hint="eastAsia" w:ascii="仿宋" w:hAnsi="仿宋" w:eastAsia="仿宋" w:cs="Times New Roman"/>
          <w:color w:val="auto"/>
          <w:sz w:val="32"/>
          <w:szCs w:val="32"/>
        </w:rPr>
        <w:t>条</w:t>
      </w:r>
      <w:r>
        <w:rPr>
          <w:rFonts w:hint="eastAsia" w:ascii="仿宋" w:hAnsi="仿宋" w:eastAsia="仿宋"/>
          <w:color w:val="auto"/>
          <w:sz w:val="32"/>
          <w:szCs w:val="32"/>
        </w:rPr>
        <w:t>、“三公开”信息1条</w:t>
      </w:r>
      <w:r>
        <w:rPr>
          <w:rFonts w:hint="eastAsia" w:ascii="仿宋" w:hAnsi="仿宋" w:eastAsia="仿宋" w:cs="宋体"/>
          <w:color w:val="auto"/>
          <w:kern w:val="0"/>
          <w:sz w:val="32"/>
          <w:szCs w:val="32"/>
        </w:rPr>
        <w:t>。</w:t>
      </w:r>
    </w:p>
    <w:p>
      <w:pPr>
        <w:keepNext w:val="0"/>
        <w:keepLines w:val="0"/>
        <w:pageBreakBefore w:val="0"/>
        <w:kinsoku/>
        <w:wordWrap/>
        <w:overflowPunct/>
        <w:topLinePunct w:val="0"/>
        <w:autoSpaceDE/>
        <w:autoSpaceDN/>
        <w:bidi w:val="0"/>
        <w:adjustRightInd/>
        <w:snapToGrid/>
        <w:spacing w:beforeAutospacing="0" w:line="360" w:lineRule="auto"/>
        <w:ind w:firstLine="640" w:firstLineChars="200"/>
        <w:textAlignment w:val="auto"/>
        <w:rPr>
          <w:rFonts w:hint="eastAsia" w:ascii="黑体" w:hAnsi="黑体" w:eastAsia="黑体" w:cs="Times New Roman"/>
          <w:color w:val="auto"/>
          <w:sz w:val="32"/>
          <w:szCs w:val="32"/>
        </w:rPr>
      </w:pPr>
      <w:r>
        <w:rPr>
          <w:rFonts w:ascii="仿宋" w:hAnsi="仿宋" w:eastAsia="仿宋" w:cs="Times New Roman"/>
          <w:color w:val="auto"/>
          <w:sz w:val="32"/>
        </w:rPr>
        <w:t>本报告中所列数据的统计期限自201</w:t>
      </w:r>
      <w:r>
        <w:rPr>
          <w:rFonts w:hint="eastAsia" w:ascii="仿宋" w:hAnsi="仿宋" w:eastAsia="仿宋" w:cs="Times New Roman"/>
          <w:color w:val="auto"/>
          <w:sz w:val="32"/>
        </w:rPr>
        <w:t>9</w:t>
      </w:r>
      <w:r>
        <w:rPr>
          <w:rFonts w:ascii="仿宋" w:hAnsi="仿宋" w:eastAsia="仿宋" w:cs="Times New Roman"/>
          <w:color w:val="auto"/>
          <w:sz w:val="32"/>
        </w:rPr>
        <w:t>年1月1日起至201</w:t>
      </w:r>
      <w:r>
        <w:rPr>
          <w:rFonts w:hint="eastAsia" w:ascii="仿宋" w:hAnsi="仿宋" w:eastAsia="仿宋" w:cs="Times New Roman"/>
          <w:color w:val="auto"/>
          <w:sz w:val="32"/>
        </w:rPr>
        <w:t>9</w:t>
      </w:r>
      <w:r>
        <w:rPr>
          <w:rFonts w:ascii="仿宋" w:hAnsi="仿宋" w:eastAsia="仿宋" w:cs="Times New Roman"/>
          <w:color w:val="auto"/>
          <w:sz w:val="32"/>
        </w:rPr>
        <w:t>年1</w:t>
      </w:r>
      <w:r>
        <w:rPr>
          <w:rFonts w:hint="eastAsia" w:ascii="仿宋" w:hAnsi="仿宋" w:eastAsia="仿宋" w:cs="Times New Roman"/>
          <w:color w:val="auto"/>
          <w:sz w:val="32"/>
        </w:rPr>
        <w:t>2</w:t>
      </w:r>
      <w:r>
        <w:rPr>
          <w:rFonts w:ascii="仿宋" w:hAnsi="仿宋" w:eastAsia="仿宋" w:cs="Times New Roman"/>
          <w:color w:val="auto"/>
          <w:sz w:val="32"/>
        </w:rPr>
        <w:t>月3</w:t>
      </w:r>
      <w:r>
        <w:rPr>
          <w:rFonts w:hint="eastAsia" w:ascii="仿宋" w:hAnsi="仿宋" w:eastAsia="仿宋" w:cs="Times New Roman"/>
          <w:color w:val="auto"/>
          <w:sz w:val="32"/>
        </w:rPr>
        <w:t>0</w:t>
      </w:r>
      <w:r>
        <w:rPr>
          <w:rFonts w:ascii="仿宋" w:hAnsi="仿宋" w:eastAsia="仿宋" w:cs="Times New Roman"/>
          <w:color w:val="auto"/>
          <w:sz w:val="32"/>
        </w:rPr>
        <w:t>日止。</w:t>
      </w:r>
    </w:p>
    <w:p>
      <w:pPr>
        <w:keepNext w:val="0"/>
        <w:keepLines w:val="0"/>
        <w:pageBreakBefore w:val="0"/>
        <w:kinsoku/>
        <w:wordWrap/>
        <w:overflowPunct/>
        <w:topLinePunct w:val="0"/>
        <w:autoSpaceDE/>
        <w:autoSpaceDN/>
        <w:bidi w:val="0"/>
        <w:adjustRightInd/>
        <w:snapToGrid/>
        <w:spacing w:beforeAutospacing="0" w:line="360" w:lineRule="auto"/>
        <w:ind w:firstLine="640" w:firstLineChars="200"/>
        <w:textAlignment w:val="auto"/>
        <w:rPr>
          <w:rFonts w:ascii="仿宋" w:hAnsi="仿宋" w:eastAsia="仿宋"/>
          <w:color w:val="auto"/>
          <w:sz w:val="32"/>
          <w:szCs w:val="32"/>
        </w:rPr>
      </w:pPr>
      <w:r>
        <w:rPr>
          <w:rFonts w:hint="eastAsia" w:ascii="黑体" w:hAnsi="黑体" w:eastAsia="黑体" w:cs="Times New Roman"/>
          <w:color w:val="auto"/>
          <w:sz w:val="32"/>
          <w:szCs w:val="32"/>
        </w:rPr>
        <w:t>二、主动公开政府信息情况</w:t>
      </w:r>
    </w:p>
    <w:tbl>
      <w:tblPr>
        <w:tblStyle w:val="6"/>
        <w:tblpPr w:leftFromText="180" w:rightFromText="180" w:vertAnchor="text" w:horzAnchor="page" w:tblpX="2042" w:tblpY="613"/>
        <w:tblOverlap w:val="never"/>
        <w:tblW w:w="8140" w:type="dxa"/>
        <w:tblInd w:w="0" w:type="dxa"/>
        <w:tblLayout w:type="fixed"/>
        <w:tblCellMar>
          <w:top w:w="0" w:type="dxa"/>
          <w:left w:w="108" w:type="dxa"/>
          <w:bottom w:w="0" w:type="dxa"/>
          <w:right w:w="108" w:type="dxa"/>
        </w:tblCellMar>
      </w:tblPr>
      <w:tblGrid>
        <w:gridCol w:w="3113"/>
        <w:gridCol w:w="1875"/>
        <w:gridCol w:w="1271"/>
        <w:gridCol w:w="1881"/>
      </w:tblGrid>
      <w:tr>
        <w:tblPrEx>
          <w:tblCellMar>
            <w:top w:w="0" w:type="dxa"/>
            <w:left w:w="108" w:type="dxa"/>
            <w:bottom w:w="0" w:type="dxa"/>
            <w:right w:w="108" w:type="dxa"/>
          </w:tblCellMar>
        </w:tblPrEx>
        <w:trPr>
          <w:trHeight w:val="495" w:hRule="atLeast"/>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第二十条第（一）项</w:t>
            </w:r>
          </w:p>
        </w:tc>
      </w:tr>
      <w:tr>
        <w:tblPrEx>
          <w:tblCellMar>
            <w:top w:w="0" w:type="dxa"/>
            <w:left w:w="108" w:type="dxa"/>
            <w:bottom w:w="0" w:type="dxa"/>
            <w:right w:w="108" w:type="dxa"/>
          </w:tblCellMar>
        </w:tblPrEx>
        <w:trPr>
          <w:trHeight w:val="882" w:hRule="atLeast"/>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信息内容</w:t>
            </w:r>
          </w:p>
        </w:tc>
        <w:tc>
          <w:tcPr>
            <w:tcW w:w="187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188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对外公开总数量</w:t>
            </w:r>
          </w:p>
        </w:tc>
      </w:tr>
      <w:tr>
        <w:tblPrEx>
          <w:tblCellMar>
            <w:top w:w="0" w:type="dxa"/>
            <w:left w:w="108" w:type="dxa"/>
            <w:bottom w:w="0" w:type="dxa"/>
            <w:right w:w="108" w:type="dxa"/>
          </w:tblCellMar>
        </w:tblPrEx>
        <w:trPr>
          <w:trHeight w:val="523" w:hRule="atLeast"/>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规章</w:t>
            </w:r>
          </w:p>
        </w:tc>
        <w:tc>
          <w:tcPr>
            <w:tcW w:w="187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 xml:space="preserve">  0</w:t>
            </w:r>
          </w:p>
        </w:tc>
        <w:tc>
          <w:tcPr>
            <w:tcW w:w="127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ascii="宋体" w:hAnsi="Calibri" w:eastAsia="宋体" w:cs="Times New Roman"/>
                <w:color w:val="auto"/>
                <w:kern w:val="0"/>
                <w:sz w:val="20"/>
                <w:szCs w:val="20"/>
              </w:rPr>
              <w:t>0</w:t>
            </w:r>
          </w:p>
        </w:tc>
        <w:tc>
          <w:tcPr>
            <w:tcW w:w="188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ascii="宋体" w:hAnsi="宋体" w:eastAsia="宋体" w:cs="宋体"/>
                <w:color w:val="auto"/>
                <w:kern w:val="0"/>
                <w:sz w:val="20"/>
                <w:szCs w:val="20"/>
              </w:rPr>
              <w:t>0</w:t>
            </w: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trHeight w:val="471" w:hRule="atLeast"/>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规范性文件</w:t>
            </w:r>
          </w:p>
        </w:tc>
        <w:tc>
          <w:tcPr>
            <w:tcW w:w="18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 xml:space="preserve">  0</w:t>
            </w:r>
          </w:p>
        </w:tc>
        <w:tc>
          <w:tcPr>
            <w:tcW w:w="127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Calibri" w:eastAsia="宋体" w:cs="Times New Roman"/>
                <w:color w:val="auto"/>
                <w:kern w:val="0"/>
                <w:sz w:val="20"/>
                <w:szCs w:val="20"/>
              </w:rPr>
              <w:t>0 </w:t>
            </w:r>
          </w:p>
        </w:tc>
        <w:tc>
          <w:tcPr>
            <w:tcW w:w="188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0　</w:t>
            </w:r>
          </w:p>
        </w:tc>
      </w:tr>
      <w:tr>
        <w:tblPrEx>
          <w:tblCellMar>
            <w:top w:w="0" w:type="dxa"/>
            <w:left w:w="108" w:type="dxa"/>
            <w:bottom w:w="0" w:type="dxa"/>
            <w:right w:w="108" w:type="dxa"/>
          </w:tblCellMar>
        </w:tblPrEx>
        <w:trPr>
          <w:trHeight w:val="480" w:hRule="atLeast"/>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第二十条第（五）项</w:t>
            </w:r>
          </w:p>
        </w:tc>
      </w:tr>
      <w:tr>
        <w:tblPrEx>
          <w:tblCellMar>
            <w:top w:w="0" w:type="dxa"/>
            <w:left w:w="108" w:type="dxa"/>
            <w:bottom w:w="0" w:type="dxa"/>
            <w:right w:w="108" w:type="dxa"/>
          </w:tblCellMar>
        </w:tblPrEx>
        <w:trPr>
          <w:trHeight w:val="634" w:hRule="atLeast"/>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信息内容</w:t>
            </w:r>
          </w:p>
        </w:tc>
        <w:tc>
          <w:tcPr>
            <w:tcW w:w="187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上一年项目数量</w:t>
            </w:r>
          </w:p>
        </w:tc>
        <w:tc>
          <w:tcPr>
            <w:tcW w:w="127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本年增/减</w:t>
            </w:r>
          </w:p>
        </w:tc>
        <w:tc>
          <w:tcPr>
            <w:tcW w:w="188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处理决定数量</w:t>
            </w:r>
          </w:p>
        </w:tc>
      </w:tr>
      <w:tr>
        <w:tblPrEx>
          <w:tblCellMar>
            <w:top w:w="0" w:type="dxa"/>
            <w:left w:w="108" w:type="dxa"/>
            <w:bottom w:w="0" w:type="dxa"/>
            <w:right w:w="108" w:type="dxa"/>
          </w:tblCellMar>
        </w:tblPrEx>
        <w:trPr>
          <w:trHeight w:val="528" w:hRule="atLeast"/>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行政许可</w:t>
            </w:r>
          </w:p>
        </w:tc>
        <w:tc>
          <w:tcPr>
            <w:tcW w:w="18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　</w:t>
            </w:r>
            <w:r>
              <w:rPr>
                <w:rFonts w:ascii="宋体" w:hAnsi="宋体" w:eastAsia="宋体" w:cs="宋体"/>
                <w:color w:val="auto"/>
                <w:kern w:val="0"/>
                <w:sz w:val="20"/>
                <w:szCs w:val="20"/>
              </w:rPr>
              <w:t>0</w:t>
            </w:r>
          </w:p>
        </w:tc>
        <w:tc>
          <w:tcPr>
            <w:tcW w:w="127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0　</w:t>
            </w:r>
          </w:p>
        </w:tc>
        <w:tc>
          <w:tcPr>
            <w:tcW w:w="188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0　</w:t>
            </w:r>
          </w:p>
        </w:tc>
      </w:tr>
      <w:tr>
        <w:tblPrEx>
          <w:tblCellMar>
            <w:top w:w="0" w:type="dxa"/>
            <w:left w:w="108" w:type="dxa"/>
            <w:bottom w:w="0" w:type="dxa"/>
            <w:right w:w="108" w:type="dxa"/>
          </w:tblCellMar>
        </w:tblPrEx>
        <w:trPr>
          <w:trHeight w:val="550" w:hRule="atLeast"/>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其他对外管理服务事项</w:t>
            </w:r>
          </w:p>
        </w:tc>
        <w:tc>
          <w:tcPr>
            <w:tcW w:w="18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　</w:t>
            </w:r>
            <w:r>
              <w:rPr>
                <w:rFonts w:ascii="宋体" w:hAnsi="宋体" w:eastAsia="宋体" w:cs="宋体"/>
                <w:color w:val="auto"/>
                <w:kern w:val="0"/>
                <w:sz w:val="20"/>
                <w:szCs w:val="20"/>
              </w:rPr>
              <w:t>0</w:t>
            </w:r>
          </w:p>
        </w:tc>
        <w:tc>
          <w:tcPr>
            <w:tcW w:w="127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0</w:t>
            </w:r>
          </w:p>
        </w:tc>
        <w:tc>
          <w:tcPr>
            <w:tcW w:w="188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0　</w:t>
            </w:r>
          </w:p>
        </w:tc>
      </w:tr>
      <w:tr>
        <w:tblPrEx>
          <w:tblCellMar>
            <w:top w:w="0" w:type="dxa"/>
            <w:left w:w="108" w:type="dxa"/>
            <w:bottom w:w="0" w:type="dxa"/>
            <w:right w:w="108" w:type="dxa"/>
          </w:tblCellMar>
        </w:tblPrEx>
        <w:trPr>
          <w:trHeight w:val="406" w:hRule="atLeast"/>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第二十条第（六）项</w:t>
            </w:r>
          </w:p>
        </w:tc>
      </w:tr>
      <w:tr>
        <w:tblPrEx>
          <w:tblCellMar>
            <w:top w:w="0" w:type="dxa"/>
            <w:left w:w="108" w:type="dxa"/>
            <w:bottom w:w="0" w:type="dxa"/>
            <w:right w:w="108" w:type="dxa"/>
          </w:tblCellMar>
        </w:tblPrEx>
        <w:trPr>
          <w:trHeight w:val="634" w:hRule="atLeast"/>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信息内容</w:t>
            </w:r>
          </w:p>
        </w:tc>
        <w:tc>
          <w:tcPr>
            <w:tcW w:w="187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上一年项目数量</w:t>
            </w:r>
          </w:p>
        </w:tc>
        <w:tc>
          <w:tcPr>
            <w:tcW w:w="127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本年增/减</w:t>
            </w:r>
          </w:p>
        </w:tc>
        <w:tc>
          <w:tcPr>
            <w:tcW w:w="188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处理决定数量</w:t>
            </w:r>
          </w:p>
        </w:tc>
      </w:tr>
      <w:tr>
        <w:tblPrEx>
          <w:tblCellMar>
            <w:top w:w="0" w:type="dxa"/>
            <w:left w:w="108" w:type="dxa"/>
            <w:bottom w:w="0" w:type="dxa"/>
            <w:right w:w="108" w:type="dxa"/>
          </w:tblCellMar>
        </w:tblPrEx>
        <w:trPr>
          <w:trHeight w:val="430" w:hRule="atLeast"/>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行政处罚</w:t>
            </w:r>
          </w:p>
        </w:tc>
        <w:tc>
          <w:tcPr>
            <w:tcW w:w="187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　0</w:t>
            </w:r>
          </w:p>
        </w:tc>
        <w:tc>
          <w:tcPr>
            <w:tcW w:w="1271"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　0</w:t>
            </w:r>
          </w:p>
        </w:tc>
        <w:tc>
          <w:tcPr>
            <w:tcW w:w="188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　0</w:t>
            </w:r>
          </w:p>
        </w:tc>
      </w:tr>
      <w:tr>
        <w:tblPrEx>
          <w:tblCellMar>
            <w:top w:w="0" w:type="dxa"/>
            <w:left w:w="108" w:type="dxa"/>
            <w:bottom w:w="0" w:type="dxa"/>
            <w:right w:w="108" w:type="dxa"/>
          </w:tblCellMar>
        </w:tblPrEx>
        <w:trPr>
          <w:trHeight w:val="409" w:hRule="atLeast"/>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行政强制</w:t>
            </w:r>
          </w:p>
        </w:tc>
        <w:tc>
          <w:tcPr>
            <w:tcW w:w="18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　0</w:t>
            </w:r>
          </w:p>
        </w:tc>
        <w:tc>
          <w:tcPr>
            <w:tcW w:w="127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ind w:firstLine="200" w:firstLineChars="100"/>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0</w:t>
            </w:r>
          </w:p>
        </w:tc>
        <w:tc>
          <w:tcPr>
            <w:tcW w:w="188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　0</w:t>
            </w:r>
          </w:p>
        </w:tc>
      </w:tr>
      <w:tr>
        <w:tblPrEx>
          <w:tblCellMar>
            <w:top w:w="0" w:type="dxa"/>
            <w:left w:w="108" w:type="dxa"/>
            <w:bottom w:w="0" w:type="dxa"/>
            <w:right w:w="108" w:type="dxa"/>
          </w:tblCellMar>
        </w:tblPrEx>
        <w:trPr>
          <w:trHeight w:val="474" w:hRule="atLeast"/>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第二十条第（八）项</w:t>
            </w:r>
          </w:p>
        </w:tc>
      </w:tr>
      <w:tr>
        <w:tblPrEx>
          <w:tblCellMar>
            <w:top w:w="0" w:type="dxa"/>
            <w:left w:w="108" w:type="dxa"/>
            <w:bottom w:w="0" w:type="dxa"/>
            <w:right w:w="108" w:type="dxa"/>
          </w:tblCellMar>
        </w:tblPrEx>
        <w:trPr>
          <w:trHeight w:val="270" w:hRule="atLeast"/>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信息内容</w:t>
            </w:r>
          </w:p>
        </w:tc>
        <w:tc>
          <w:tcPr>
            <w:tcW w:w="18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上一年项目数量</w:t>
            </w:r>
          </w:p>
        </w:tc>
        <w:tc>
          <w:tcPr>
            <w:tcW w:w="3152"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本年增/减</w:t>
            </w:r>
          </w:p>
        </w:tc>
      </w:tr>
      <w:tr>
        <w:tblPrEx>
          <w:tblCellMar>
            <w:top w:w="0" w:type="dxa"/>
            <w:left w:w="108" w:type="dxa"/>
            <w:bottom w:w="0" w:type="dxa"/>
            <w:right w:w="108" w:type="dxa"/>
          </w:tblCellMar>
        </w:tblPrEx>
        <w:trPr>
          <w:trHeight w:val="551" w:hRule="atLeast"/>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行政事业性收费</w:t>
            </w:r>
          </w:p>
        </w:tc>
        <w:tc>
          <w:tcPr>
            <w:tcW w:w="18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ind w:firstLine="100" w:firstLineChars="50"/>
              <w:jc w:val="left"/>
              <w:textAlignment w:val="auto"/>
              <w:rPr>
                <w:rFonts w:ascii="宋体" w:hAnsi="宋体" w:eastAsia="宋体" w:cs="宋体"/>
                <w:color w:val="auto"/>
                <w:kern w:val="0"/>
                <w:szCs w:val="21"/>
              </w:rPr>
            </w:pPr>
            <w:r>
              <w:rPr>
                <w:rFonts w:ascii="宋体" w:hAnsi="宋体" w:eastAsia="宋体" w:cs="宋体"/>
                <w:color w:val="auto"/>
                <w:kern w:val="0"/>
                <w:sz w:val="20"/>
                <w:szCs w:val="20"/>
              </w:rPr>
              <w:t>0</w:t>
            </w:r>
          </w:p>
        </w:tc>
        <w:tc>
          <w:tcPr>
            <w:tcW w:w="3152"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textAlignment w:val="auto"/>
              <w:rPr>
                <w:rFonts w:ascii="宋体" w:hAnsi="宋体" w:eastAsia="宋体" w:cs="宋体"/>
                <w:color w:val="auto"/>
                <w:kern w:val="0"/>
                <w:szCs w:val="21"/>
              </w:rPr>
            </w:pPr>
            <w:r>
              <w:rPr>
                <w:rFonts w:hint="eastAsia" w:ascii="宋体" w:hAnsi="Calibri" w:eastAsia="宋体" w:cs="Times New Roman"/>
                <w:color w:val="auto"/>
                <w:kern w:val="0"/>
                <w:sz w:val="20"/>
                <w:szCs w:val="20"/>
              </w:rPr>
              <w:t> 0</w:t>
            </w:r>
          </w:p>
        </w:tc>
      </w:tr>
      <w:tr>
        <w:tblPrEx>
          <w:tblCellMar>
            <w:top w:w="0" w:type="dxa"/>
            <w:left w:w="108" w:type="dxa"/>
            <w:bottom w:w="0" w:type="dxa"/>
            <w:right w:w="108" w:type="dxa"/>
          </w:tblCellMar>
        </w:tblPrEx>
        <w:trPr>
          <w:trHeight w:val="476" w:hRule="atLeast"/>
        </w:trPr>
        <w:tc>
          <w:tcPr>
            <w:tcW w:w="8140" w:type="dxa"/>
            <w:gridSpan w:val="4"/>
            <w:tcBorders>
              <w:top w:val="single" w:color="auto" w:sz="4" w:space="0"/>
              <w:left w:val="single" w:color="auto" w:sz="4" w:space="0"/>
              <w:bottom w:val="single" w:color="auto" w:sz="4" w:space="0"/>
              <w:right w:val="single" w:color="auto" w:sz="4" w:space="0"/>
            </w:tcBorders>
            <w:shd w:val="clear" w:color="auto" w:fill="C6D9F1"/>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第二十条第（九）项</w:t>
            </w:r>
          </w:p>
        </w:tc>
      </w:tr>
      <w:tr>
        <w:tblPrEx>
          <w:tblCellMar>
            <w:top w:w="0" w:type="dxa"/>
            <w:left w:w="108" w:type="dxa"/>
            <w:bottom w:w="0" w:type="dxa"/>
            <w:right w:w="108" w:type="dxa"/>
          </w:tblCellMar>
        </w:tblPrEx>
        <w:trPr>
          <w:trHeight w:val="585" w:hRule="atLeast"/>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信息内容</w:t>
            </w:r>
          </w:p>
        </w:tc>
        <w:tc>
          <w:tcPr>
            <w:tcW w:w="18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采购项目数量</w:t>
            </w:r>
          </w:p>
        </w:tc>
        <w:tc>
          <w:tcPr>
            <w:tcW w:w="3152"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采购总金额</w:t>
            </w:r>
          </w:p>
        </w:tc>
      </w:tr>
      <w:tr>
        <w:tblPrEx>
          <w:tblCellMar>
            <w:top w:w="0" w:type="dxa"/>
            <w:left w:w="108" w:type="dxa"/>
            <w:bottom w:w="0" w:type="dxa"/>
            <w:right w:w="108" w:type="dxa"/>
          </w:tblCellMar>
        </w:tblPrEx>
        <w:trPr>
          <w:trHeight w:val="539" w:hRule="atLeast"/>
        </w:trPr>
        <w:tc>
          <w:tcPr>
            <w:tcW w:w="3113"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政府集中采购</w:t>
            </w:r>
          </w:p>
        </w:tc>
        <w:tc>
          <w:tcPr>
            <w:tcW w:w="18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　0</w:t>
            </w:r>
          </w:p>
        </w:tc>
        <w:tc>
          <w:tcPr>
            <w:tcW w:w="3152"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宋体" w:hAnsi="宋体" w:eastAsia="宋体" w:cs="宋体"/>
                <w:color w:val="auto"/>
                <w:kern w:val="0"/>
                <w:szCs w:val="21"/>
              </w:rPr>
              <w:t>0</w:t>
            </w:r>
          </w:p>
        </w:tc>
      </w:tr>
    </w:tbl>
    <w:p>
      <w:pPr>
        <w:keepNext w:val="0"/>
        <w:keepLines w:val="0"/>
        <w:pageBreakBefore w:val="0"/>
        <w:widowControl/>
        <w:kinsoku/>
        <w:wordWrap/>
        <w:overflowPunct/>
        <w:topLinePunct w:val="0"/>
        <w:autoSpaceDE/>
        <w:autoSpaceDN/>
        <w:bidi w:val="0"/>
        <w:adjustRightInd/>
        <w:snapToGrid/>
        <w:spacing w:beforeAutospacing="0" w:line="360" w:lineRule="auto"/>
        <w:ind w:firstLine="480"/>
        <w:textAlignment w:val="auto"/>
        <w:rPr>
          <w:rFonts w:ascii="Times New Roman" w:hAnsi="Times New Roman" w:eastAsia="仿宋" w:cs="Times New Roman"/>
          <w:color w:val="auto"/>
          <w:kern w:val="0"/>
          <w:sz w:val="32"/>
          <w:szCs w:val="32"/>
        </w:rPr>
      </w:pPr>
    </w:p>
    <w:p>
      <w:pPr>
        <w:keepNext w:val="0"/>
        <w:keepLines w:val="0"/>
        <w:pageBreakBefore w:val="0"/>
        <w:kinsoku/>
        <w:wordWrap/>
        <w:overflowPunct/>
        <w:topLinePunct w:val="0"/>
        <w:autoSpaceDE/>
        <w:autoSpaceDN/>
        <w:bidi w:val="0"/>
        <w:adjustRightInd/>
        <w:snapToGrid/>
        <w:spacing w:beforeAutospacing="0" w:line="360" w:lineRule="auto"/>
        <w:ind w:firstLine="643" w:firstLineChars="200"/>
        <w:textAlignment w:val="auto"/>
        <w:rPr>
          <w:rFonts w:ascii="黑体" w:hAnsi="黑体" w:eastAsia="黑体" w:cs="Times New Roman"/>
          <w:b/>
          <w:bCs/>
          <w:color w:val="auto"/>
          <w:kern w:val="0"/>
          <w:sz w:val="32"/>
          <w:szCs w:val="32"/>
        </w:rPr>
      </w:pPr>
      <w:r>
        <w:rPr>
          <w:rFonts w:ascii="黑体" w:hAnsi="黑体" w:eastAsia="黑体" w:cs="Times New Roman"/>
          <w:b/>
          <w:bCs/>
          <w:color w:val="auto"/>
          <w:kern w:val="0"/>
          <w:sz w:val="32"/>
          <w:szCs w:val="32"/>
        </w:rPr>
        <w:t>三、收到和处理政府信息公开申请情况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825"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自然人</w:t>
            </w:r>
          </w:p>
        </w:tc>
        <w:tc>
          <w:tcPr>
            <w:tcW w:w="4065"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82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商业企业</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科研机构</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社会公益组织</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法律服务机构</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其他</w:t>
            </w:r>
          </w:p>
        </w:tc>
        <w:tc>
          <w:tcPr>
            <w:tcW w:w="702"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（一）予以公开</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855"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（三）不予公开</w:t>
            </w: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1.属于国家秘密</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3.危及“三安全一稳定”</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4.保护第三方合法权益</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5.属于三类内部事务信息</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6.属于四类过程性信息</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7.属于行政执法案卷</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8.属于行政查询事项</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855"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（四）无法提供</w:t>
            </w: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855"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（五）不予处理</w:t>
            </w: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1.信访举报投诉类申请</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2.重复申请</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3.要求提供公开出版物</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855"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213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（六）其他处理</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楷体" w:hAnsi="楷体" w:eastAsia="楷体" w:cs="宋体"/>
                <w:color w:val="auto"/>
                <w:sz w:val="20"/>
                <w:szCs w:val="20"/>
              </w:rPr>
              <w:t>（七）总计</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四、结转下年度继续办理</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8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99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7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p>
        </w:tc>
      </w:tr>
    </w:tbl>
    <w:p>
      <w:pPr>
        <w:keepNext w:val="0"/>
        <w:keepLines w:val="0"/>
        <w:pageBreakBefore w:val="0"/>
        <w:widowControl/>
        <w:kinsoku/>
        <w:wordWrap/>
        <w:overflowPunct/>
        <w:topLinePunct w:val="0"/>
        <w:autoSpaceDE/>
        <w:autoSpaceDN/>
        <w:bidi w:val="0"/>
        <w:adjustRightInd/>
        <w:snapToGrid/>
        <w:spacing w:beforeAutospacing="0" w:line="360" w:lineRule="auto"/>
        <w:ind w:firstLine="480"/>
        <w:textAlignment w:val="auto"/>
        <w:rPr>
          <w:rFonts w:hint="eastAsia" w:ascii="黑体" w:hAnsi="黑体" w:eastAsia="黑体" w:cs="宋体"/>
          <w:color w:val="auto"/>
          <w:kern w:val="0"/>
          <w:sz w:val="32"/>
          <w:szCs w:val="32"/>
        </w:rPr>
      </w:pPr>
    </w:p>
    <w:p>
      <w:pPr>
        <w:keepNext w:val="0"/>
        <w:keepLines w:val="0"/>
        <w:pageBreakBefore w:val="0"/>
        <w:widowControl/>
        <w:kinsoku/>
        <w:wordWrap/>
        <w:overflowPunct/>
        <w:topLinePunct w:val="0"/>
        <w:autoSpaceDE/>
        <w:autoSpaceDN/>
        <w:bidi w:val="0"/>
        <w:adjustRightInd/>
        <w:snapToGrid/>
        <w:spacing w:beforeAutospacing="0" w:line="360" w:lineRule="auto"/>
        <w:ind w:firstLine="480"/>
        <w:textAlignment w:val="auto"/>
        <w:rPr>
          <w:rFonts w:ascii="黑体" w:hAnsi="黑体" w:eastAsia="黑体" w:cs="宋体"/>
          <w:color w:val="auto"/>
          <w:kern w:val="0"/>
          <w:sz w:val="32"/>
          <w:szCs w:val="32"/>
        </w:rPr>
      </w:pPr>
      <w:r>
        <w:rPr>
          <w:rFonts w:hint="eastAsia" w:ascii="黑体" w:hAnsi="黑体" w:eastAsia="黑体" w:cs="宋体"/>
          <w:color w:val="auto"/>
          <w:kern w:val="0"/>
          <w:sz w:val="32"/>
          <w:szCs w:val="32"/>
        </w:rPr>
        <w:t>四、政府信息公开行政复议、行政诉讼情况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结果维持</w:t>
            </w:r>
          </w:p>
        </w:tc>
        <w:tc>
          <w:tcPr>
            <w:tcW w:w="604"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60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left"/>
              <w:textAlignment w:val="auto"/>
              <w:rPr>
                <w:rFonts w:ascii="宋体" w:hAnsi="宋体" w:eastAsia="宋体" w:cs="宋体"/>
                <w:color w:val="auto"/>
                <w:kern w:val="0"/>
                <w:szCs w:val="21"/>
              </w:rPr>
            </w:pP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ascii="Calibri" w:hAnsi="Calibri" w:eastAsia="宋体" w:cs="Times New Roman"/>
                <w:color w:val="auto"/>
                <w:sz w:val="20"/>
                <w:szCs w:val="20"/>
              </w:rPr>
              <w:t> </w:t>
            </w: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 </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 </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 </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 </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 </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 </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 </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宋体" w:hAnsi="宋体" w:eastAsia="宋体" w:cs="宋体"/>
                <w:color w:val="auto"/>
                <w:kern w:val="0"/>
                <w:sz w:val="20"/>
                <w:szCs w:val="20"/>
              </w:rPr>
              <w:t> </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r>
              <w:rPr>
                <w:rFonts w:hint="eastAsia" w:ascii="Calibri" w:hAnsi="Calibri" w:eastAsia="宋体" w:cs="Times New Roman"/>
                <w:color w:val="auto"/>
                <w:sz w:val="20"/>
                <w:szCs w:val="20"/>
              </w:rPr>
              <w:t> </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宋体" w:hAnsi="宋体" w:eastAsia="宋体" w:cs="宋体"/>
                <w:color w:val="auto"/>
                <w:kern w:val="0"/>
                <w:szCs w:val="21"/>
              </w:rPr>
            </w:pPr>
          </w:p>
        </w:tc>
      </w:tr>
    </w:tbl>
    <w:p>
      <w:pPr>
        <w:keepNext w:val="0"/>
        <w:keepLines w:val="0"/>
        <w:pageBreakBefore w:val="0"/>
        <w:widowControl/>
        <w:kinsoku/>
        <w:wordWrap/>
        <w:overflowPunct/>
        <w:topLinePunct w:val="0"/>
        <w:autoSpaceDE/>
        <w:autoSpaceDN/>
        <w:bidi w:val="0"/>
        <w:adjustRightInd/>
        <w:snapToGrid/>
        <w:spacing w:beforeAutospacing="0" w:line="360" w:lineRule="auto"/>
        <w:jc w:val="center"/>
        <w:textAlignment w:val="auto"/>
        <w:rPr>
          <w:rFonts w:ascii="Times New Roman" w:hAnsi="Times New Roman" w:eastAsia="宋体" w:cs="Times New Roman"/>
          <w:color w:val="auto"/>
          <w:kern w:val="0"/>
          <w:sz w:val="32"/>
          <w:szCs w:val="32"/>
        </w:rPr>
      </w:pPr>
    </w:p>
    <w:p>
      <w:pPr>
        <w:keepNext w:val="0"/>
        <w:keepLines w:val="0"/>
        <w:pageBreakBefore w:val="0"/>
        <w:widowControl/>
        <w:kinsoku/>
        <w:wordWrap/>
        <w:overflowPunct/>
        <w:topLinePunct w:val="0"/>
        <w:autoSpaceDE/>
        <w:autoSpaceDN/>
        <w:bidi w:val="0"/>
        <w:adjustRightInd/>
        <w:snapToGrid/>
        <w:spacing w:beforeAutospacing="0" w:line="360" w:lineRule="auto"/>
        <w:ind w:firstLine="640" w:firstLineChars="200"/>
        <w:textAlignment w:val="auto"/>
        <w:rPr>
          <w:rFonts w:ascii="黑体" w:hAnsi="黑体" w:eastAsia="黑体" w:cs="Times New Roman"/>
          <w:color w:val="auto"/>
          <w:kern w:val="0"/>
          <w:sz w:val="32"/>
          <w:szCs w:val="32"/>
        </w:rPr>
      </w:pPr>
      <w:r>
        <w:rPr>
          <w:rFonts w:ascii="黑体" w:hAnsi="黑体" w:eastAsia="黑体" w:cs="Times New Roman"/>
          <w:color w:val="auto"/>
          <w:kern w:val="0"/>
          <w:sz w:val="32"/>
          <w:szCs w:val="32"/>
        </w:rPr>
        <w:t>五、存在的主要问题及改进情况</w:t>
      </w:r>
    </w:p>
    <w:p>
      <w:pPr>
        <w:keepNext w:val="0"/>
        <w:keepLines w:val="0"/>
        <w:pageBreakBefore w:val="0"/>
        <w:kinsoku/>
        <w:wordWrap/>
        <w:overflowPunct/>
        <w:topLinePunct w:val="0"/>
        <w:autoSpaceDE/>
        <w:autoSpaceDN/>
        <w:bidi w:val="0"/>
        <w:adjustRightInd/>
        <w:snapToGrid/>
        <w:spacing w:beforeAutospacing="0" w:line="360" w:lineRule="auto"/>
        <w:textAlignment w:val="auto"/>
        <w:rPr>
          <w:rFonts w:ascii="仿宋" w:hAnsi="仿宋" w:eastAsia="仿宋"/>
          <w:color w:val="auto"/>
          <w:sz w:val="32"/>
          <w:szCs w:val="32"/>
          <w:shd w:val="clear" w:color="auto" w:fill="auto"/>
        </w:rPr>
      </w:pPr>
      <w:r>
        <w:rPr>
          <w:rFonts w:hint="eastAsia" w:ascii="仿宋" w:hAnsi="仿宋" w:eastAsia="仿宋"/>
          <w:color w:val="auto"/>
          <w:sz w:val="32"/>
          <w:szCs w:val="32"/>
          <w:shd w:val="clear" w:color="auto" w:fill="auto"/>
        </w:rPr>
        <w:t>2019年，营商局按照《条例》要求及区委区政府的统一部署，认真落实推进政府信息公开工作，取得了一定的工作成效，但还存在信息公开的主动性还不够，公开形式还不够丰富等问题。下一步，将进一步完善政府信息公开内容，深入推进信息公开的</w:t>
      </w:r>
      <w:r>
        <w:rPr>
          <w:rFonts w:hint="eastAsia" w:ascii="仿宋" w:hAnsi="仿宋" w:eastAsia="仿宋" w:cs="Times New Roman"/>
          <w:color w:val="auto"/>
          <w:kern w:val="0"/>
          <w:sz w:val="32"/>
          <w:szCs w:val="32"/>
        </w:rPr>
        <w:t>制度化、长效化，结合营商局实际加强发布更新帮扶企业政策，扎实推进政府信息公开工作上新台阶。</w:t>
      </w:r>
    </w:p>
    <w:p>
      <w:pPr>
        <w:keepNext w:val="0"/>
        <w:keepLines w:val="0"/>
        <w:pageBreakBefore w:val="0"/>
        <w:widowControl/>
        <w:kinsoku/>
        <w:wordWrap/>
        <w:overflowPunct/>
        <w:topLinePunct w:val="0"/>
        <w:autoSpaceDE/>
        <w:autoSpaceDN/>
        <w:bidi w:val="0"/>
        <w:adjustRightInd/>
        <w:snapToGrid/>
        <w:spacing w:beforeAutospacing="0" w:line="360" w:lineRule="auto"/>
        <w:ind w:firstLine="640" w:firstLineChars="200"/>
        <w:textAlignment w:val="auto"/>
        <w:rPr>
          <w:rFonts w:ascii="黑体" w:hAnsi="黑体" w:eastAsia="黑体" w:cs="Times New Roman"/>
          <w:color w:val="auto"/>
          <w:kern w:val="0"/>
          <w:sz w:val="32"/>
          <w:szCs w:val="32"/>
        </w:rPr>
      </w:pPr>
      <w:r>
        <w:rPr>
          <w:rFonts w:ascii="黑体" w:hAnsi="黑体" w:eastAsia="黑体" w:cs="Times New Roman"/>
          <w:color w:val="auto"/>
          <w:kern w:val="0"/>
          <w:sz w:val="32"/>
          <w:szCs w:val="32"/>
        </w:rPr>
        <w:t>六、其他需要报告的事项</w:t>
      </w:r>
    </w:p>
    <w:p>
      <w:pPr>
        <w:keepNext w:val="0"/>
        <w:keepLines w:val="0"/>
        <w:pageBreakBefore w:val="0"/>
        <w:widowControl/>
        <w:kinsoku/>
        <w:wordWrap/>
        <w:overflowPunct/>
        <w:topLinePunct w:val="0"/>
        <w:autoSpaceDE/>
        <w:autoSpaceDN/>
        <w:bidi w:val="0"/>
        <w:adjustRightInd/>
        <w:snapToGrid/>
        <w:spacing w:beforeAutospacing="0" w:line="360" w:lineRule="auto"/>
        <w:ind w:firstLine="640" w:firstLineChars="200"/>
        <w:textAlignment w:val="auto"/>
        <w:rPr>
          <w:rFonts w:hint="eastAsia" w:ascii="仿宋" w:hAnsi="仿宋" w:eastAsia="仿宋" w:cs="Times New Roman"/>
          <w:color w:val="auto"/>
          <w:kern w:val="0"/>
          <w:sz w:val="32"/>
          <w:szCs w:val="32"/>
          <w:lang w:eastAsia="zh-CN"/>
        </w:rPr>
      </w:pPr>
      <w:r>
        <w:rPr>
          <w:rFonts w:hint="eastAsia" w:ascii="仿宋" w:hAnsi="仿宋" w:eastAsia="仿宋" w:cs="Times New Roman"/>
          <w:color w:val="auto"/>
          <w:kern w:val="0"/>
          <w:sz w:val="32"/>
          <w:szCs w:val="32"/>
        </w:rPr>
        <w:t>无其他报告事项</w:t>
      </w:r>
      <w:r>
        <w:rPr>
          <w:rFonts w:hint="eastAsia" w:ascii="仿宋" w:hAnsi="仿宋" w:eastAsia="仿宋" w:cs="Times New Roman"/>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line="360" w:lineRule="auto"/>
        <w:ind w:firstLine="640" w:firstLineChars="200"/>
        <w:textAlignment w:val="auto"/>
        <w:rPr>
          <w:rFonts w:ascii="仿宋" w:hAnsi="仿宋" w:eastAsia="仿宋" w:cs="Times New Roman"/>
          <w:color w:val="auto"/>
          <w:kern w:val="0"/>
          <w:sz w:val="32"/>
          <w:szCs w:val="32"/>
        </w:rPr>
      </w:pPr>
    </w:p>
    <w:p>
      <w:pPr>
        <w:keepNext w:val="0"/>
        <w:keepLines w:val="0"/>
        <w:pageBreakBefore w:val="0"/>
        <w:widowControl/>
        <w:kinsoku/>
        <w:wordWrap/>
        <w:overflowPunct/>
        <w:topLinePunct w:val="0"/>
        <w:autoSpaceDE/>
        <w:autoSpaceDN/>
        <w:bidi w:val="0"/>
        <w:adjustRightInd/>
        <w:snapToGrid/>
        <w:spacing w:beforeAutospacing="0" w:line="360" w:lineRule="auto"/>
        <w:ind w:firstLine="640" w:firstLineChars="200"/>
        <w:textAlignment w:val="auto"/>
        <w:rPr>
          <w:rFonts w:ascii="仿宋" w:hAnsi="仿宋" w:eastAsia="仿宋" w:cs="Times New Roman"/>
          <w:color w:val="auto"/>
          <w:kern w:val="0"/>
          <w:sz w:val="32"/>
          <w:szCs w:val="32"/>
        </w:rPr>
      </w:pPr>
    </w:p>
    <w:p>
      <w:pPr>
        <w:keepNext w:val="0"/>
        <w:keepLines w:val="0"/>
        <w:pageBreakBefore w:val="0"/>
        <w:widowControl/>
        <w:kinsoku/>
        <w:wordWrap/>
        <w:overflowPunct/>
        <w:topLinePunct w:val="0"/>
        <w:autoSpaceDE/>
        <w:autoSpaceDN/>
        <w:bidi w:val="0"/>
        <w:adjustRightInd/>
        <w:snapToGrid/>
        <w:spacing w:beforeAutospacing="0" w:line="360" w:lineRule="auto"/>
        <w:ind w:firstLine="4160" w:firstLineChars="1300"/>
        <w:textAlignment w:val="auto"/>
        <w:rPr>
          <w:rFonts w:ascii="仿宋" w:hAnsi="仿宋" w:eastAsia="仿宋" w:cs="Times New Roman"/>
          <w:color w:val="auto"/>
          <w:kern w:val="0"/>
          <w:sz w:val="32"/>
          <w:szCs w:val="32"/>
        </w:rPr>
      </w:pPr>
      <w:r>
        <w:rPr>
          <w:rFonts w:hint="eastAsia" w:ascii="仿宋" w:hAnsi="仿宋" w:eastAsia="仿宋" w:cs="Times New Roman"/>
          <w:color w:val="auto"/>
          <w:kern w:val="0"/>
          <w:sz w:val="32"/>
          <w:szCs w:val="32"/>
        </w:rPr>
        <w:t>沈阳市辽中区营商环境</w:t>
      </w:r>
      <w:r>
        <w:rPr>
          <w:rFonts w:ascii="仿宋" w:hAnsi="仿宋" w:eastAsia="仿宋" w:cs="Times New Roman"/>
          <w:color w:val="auto"/>
          <w:kern w:val="0"/>
          <w:sz w:val="32"/>
          <w:szCs w:val="32"/>
        </w:rPr>
        <w:t>建设局</w:t>
      </w:r>
    </w:p>
    <w:p>
      <w:pPr>
        <w:keepNext w:val="0"/>
        <w:keepLines w:val="0"/>
        <w:pageBreakBefore w:val="0"/>
        <w:widowControl/>
        <w:kinsoku/>
        <w:wordWrap/>
        <w:overflowPunct/>
        <w:topLinePunct w:val="0"/>
        <w:autoSpaceDE/>
        <w:autoSpaceDN/>
        <w:bidi w:val="0"/>
        <w:adjustRightInd/>
        <w:snapToGrid/>
        <w:spacing w:beforeAutospacing="0" w:line="360" w:lineRule="auto"/>
        <w:ind w:firstLine="4480" w:firstLineChars="1400"/>
        <w:textAlignment w:val="auto"/>
        <w:rPr>
          <w:rFonts w:eastAsia="仿宋_GB2312"/>
          <w:color w:val="auto"/>
          <w:sz w:val="32"/>
          <w:szCs w:val="32"/>
        </w:rPr>
      </w:pPr>
      <w:r>
        <w:rPr>
          <w:rFonts w:hint="eastAsia" w:ascii="仿宋" w:hAnsi="仿宋" w:eastAsia="仿宋" w:cs="Times New Roman"/>
          <w:color w:val="auto"/>
          <w:kern w:val="0"/>
          <w:sz w:val="32"/>
          <w:szCs w:val="32"/>
        </w:rPr>
        <w:t>二〇二〇年二月二十一日</w:t>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70E7A"/>
    <w:rsid w:val="00091770"/>
    <w:rsid w:val="00172A27"/>
    <w:rsid w:val="00217061"/>
    <w:rsid w:val="002604B7"/>
    <w:rsid w:val="003726C3"/>
    <w:rsid w:val="004253E9"/>
    <w:rsid w:val="004858B5"/>
    <w:rsid w:val="00487474"/>
    <w:rsid w:val="004C1A82"/>
    <w:rsid w:val="005151AA"/>
    <w:rsid w:val="0056735C"/>
    <w:rsid w:val="005A0FB4"/>
    <w:rsid w:val="00602937"/>
    <w:rsid w:val="00750601"/>
    <w:rsid w:val="00773A6F"/>
    <w:rsid w:val="00774089"/>
    <w:rsid w:val="00810CC3"/>
    <w:rsid w:val="0085770F"/>
    <w:rsid w:val="008940D1"/>
    <w:rsid w:val="00897774"/>
    <w:rsid w:val="009A77AB"/>
    <w:rsid w:val="00A73FA3"/>
    <w:rsid w:val="00C70453"/>
    <w:rsid w:val="00D372D7"/>
    <w:rsid w:val="00DA7B78"/>
    <w:rsid w:val="00DD6FCC"/>
    <w:rsid w:val="00EB7576"/>
    <w:rsid w:val="00EF6571"/>
    <w:rsid w:val="00F36CDB"/>
    <w:rsid w:val="00FA2087"/>
    <w:rsid w:val="01737FAE"/>
    <w:rsid w:val="01845E22"/>
    <w:rsid w:val="019239BA"/>
    <w:rsid w:val="03274EAE"/>
    <w:rsid w:val="034C4C67"/>
    <w:rsid w:val="05CF3283"/>
    <w:rsid w:val="08E53F4E"/>
    <w:rsid w:val="09E80510"/>
    <w:rsid w:val="0D05723B"/>
    <w:rsid w:val="0D4375DC"/>
    <w:rsid w:val="0F16780B"/>
    <w:rsid w:val="141007C3"/>
    <w:rsid w:val="176B6966"/>
    <w:rsid w:val="17E73466"/>
    <w:rsid w:val="196A660B"/>
    <w:rsid w:val="1B27268B"/>
    <w:rsid w:val="1CA40916"/>
    <w:rsid w:val="1D663A9D"/>
    <w:rsid w:val="208765D2"/>
    <w:rsid w:val="2857069F"/>
    <w:rsid w:val="288940B4"/>
    <w:rsid w:val="290B3920"/>
    <w:rsid w:val="298B424B"/>
    <w:rsid w:val="2CC662E7"/>
    <w:rsid w:val="305502B6"/>
    <w:rsid w:val="32074AB4"/>
    <w:rsid w:val="329A4045"/>
    <w:rsid w:val="350E14A0"/>
    <w:rsid w:val="353B26D3"/>
    <w:rsid w:val="35C93956"/>
    <w:rsid w:val="369076E9"/>
    <w:rsid w:val="3734553A"/>
    <w:rsid w:val="3A5A0BE6"/>
    <w:rsid w:val="3C405DC1"/>
    <w:rsid w:val="3CA16765"/>
    <w:rsid w:val="3CEA40FF"/>
    <w:rsid w:val="3E833B40"/>
    <w:rsid w:val="40F02704"/>
    <w:rsid w:val="46FD44E3"/>
    <w:rsid w:val="4BDA7543"/>
    <w:rsid w:val="4C7B26DD"/>
    <w:rsid w:val="507B6EC2"/>
    <w:rsid w:val="54B53C4E"/>
    <w:rsid w:val="54F81C80"/>
    <w:rsid w:val="564E60EC"/>
    <w:rsid w:val="56736318"/>
    <w:rsid w:val="5D1C5A8A"/>
    <w:rsid w:val="60D11083"/>
    <w:rsid w:val="63F638FA"/>
    <w:rsid w:val="648A5D86"/>
    <w:rsid w:val="651F64CB"/>
    <w:rsid w:val="66FC5403"/>
    <w:rsid w:val="68465593"/>
    <w:rsid w:val="69411B1B"/>
    <w:rsid w:val="6C79703F"/>
    <w:rsid w:val="6CB07194"/>
    <w:rsid w:val="6DB32F09"/>
    <w:rsid w:val="6FF71F82"/>
    <w:rsid w:val="707637A7"/>
    <w:rsid w:val="714E1C5D"/>
    <w:rsid w:val="71B5132B"/>
    <w:rsid w:val="725B6B0B"/>
    <w:rsid w:val="732520C0"/>
    <w:rsid w:val="74221925"/>
    <w:rsid w:val="75E02A6C"/>
    <w:rsid w:val="760240CF"/>
    <w:rsid w:val="78564B10"/>
    <w:rsid w:val="7AF04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character" w:styleId="8">
    <w:name w:val="FollowedHyperlink"/>
    <w:basedOn w:val="7"/>
    <w:qFormat/>
    <w:uiPriority w:val="0"/>
    <w:rPr>
      <w:color w:val="800080"/>
      <w:u w:val="none"/>
    </w:rPr>
  </w:style>
  <w:style w:type="character" w:styleId="9">
    <w:name w:val="Emphasis"/>
    <w:basedOn w:val="7"/>
    <w:qFormat/>
    <w:uiPriority w:val="20"/>
    <w:rPr>
      <w:i/>
    </w:rPr>
  </w:style>
  <w:style w:type="character" w:styleId="10">
    <w:name w:val="Hyperlink"/>
    <w:basedOn w:val="7"/>
    <w:qFormat/>
    <w:uiPriority w:val="0"/>
    <w:rPr>
      <w:color w:val="0000FF"/>
      <w:u w:val="none"/>
    </w:rPr>
  </w:style>
  <w:style w:type="character" w:customStyle="1" w:styleId="11">
    <w:name w:val="Unresolved Mention"/>
    <w:basedOn w:val="7"/>
    <w:semiHidden/>
    <w:unhideWhenUsed/>
    <w:qFormat/>
    <w:uiPriority w:val="99"/>
    <w:rPr>
      <w:color w:val="605E5C"/>
      <w:shd w:val="clear" w:color="auto" w:fill="E1DFDD"/>
    </w:rPr>
  </w:style>
  <w:style w:type="character" w:customStyle="1" w:styleId="12">
    <w:name w:val="页眉 字符"/>
    <w:basedOn w:val="7"/>
    <w:link w:val="4"/>
    <w:qFormat/>
    <w:uiPriority w:val="0"/>
    <w:rPr>
      <w:kern w:val="2"/>
      <w:sz w:val="18"/>
      <w:szCs w:val="18"/>
    </w:rPr>
  </w:style>
  <w:style w:type="character" w:customStyle="1" w:styleId="13">
    <w:name w:val="批注框文本 字符"/>
    <w:basedOn w:val="7"/>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2DE40F-5382-43EF-A9A9-6F3B796888F6}">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5</Pages>
  <Words>283</Words>
  <Characters>1617</Characters>
  <Lines>13</Lines>
  <Paragraphs>3</Paragraphs>
  <TotalTime>35</TotalTime>
  <ScaleCrop>false</ScaleCrop>
  <LinksUpToDate>false</LinksUpToDate>
  <CharactersWithSpaces>1897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2020-02-24T01:52:00Z</cp:lastPrinted>
  <dcterms:modified xsi:type="dcterms:W3CDTF">2020-02-24T07:39:20Z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