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rPr>
      </w:pPr>
      <w:bookmarkStart w:id="0" w:name="_GoBack"/>
      <w:r>
        <w:rPr>
          <w:rFonts w:hint="eastAsia" w:ascii="宋体" w:hAnsi="宋体" w:eastAsia="宋体" w:cs="宋体"/>
          <w:b/>
          <w:bCs/>
          <w:sz w:val="44"/>
          <w:szCs w:val="44"/>
        </w:rPr>
        <w:t>沈阳市辽中区市场监督管理局</w:t>
      </w:r>
    </w:p>
    <w:bookmarkEnd w:id="0"/>
    <w:p>
      <w:pPr>
        <w:jc w:val="center"/>
        <w:rPr>
          <w:rFonts w:hint="eastAsia" w:ascii="宋体" w:hAnsi="宋体" w:eastAsia="宋体" w:cs="宋体"/>
          <w:b/>
          <w:bCs/>
          <w:sz w:val="44"/>
          <w:szCs w:val="44"/>
        </w:rPr>
      </w:pPr>
      <w:r>
        <w:rPr>
          <w:rFonts w:hint="eastAsia" w:ascii="宋体" w:hAnsi="宋体" w:eastAsia="宋体" w:cs="宋体"/>
          <w:b/>
          <w:bCs/>
          <w:sz w:val="44"/>
          <w:szCs w:val="44"/>
        </w:rPr>
        <w:t>2019年度政府信息公开工作报告</w:t>
      </w:r>
    </w:p>
    <w:p>
      <w:pPr>
        <w:rPr>
          <w:rFonts w:hint="eastAsia" w:ascii="黑体" w:hAnsi="黑体" w:eastAsia="黑体" w:cs="黑体"/>
          <w:b/>
          <w:bCs/>
          <w:sz w:val="32"/>
          <w:szCs w:val="32"/>
        </w:rPr>
      </w:pPr>
    </w:p>
    <w:p>
      <w:pPr>
        <w:spacing w:line="360" w:lineRule="auto"/>
        <w:ind w:firstLine="640" w:firstLineChars="200"/>
        <w:rPr>
          <w:rFonts w:hint="eastAsia" w:ascii="黑体" w:hAnsi="黑体" w:eastAsia="黑体"/>
          <w:sz w:val="32"/>
          <w:szCs w:val="32"/>
        </w:rPr>
      </w:pPr>
      <w:r>
        <w:rPr>
          <w:rFonts w:hint="eastAsia" w:ascii="黑体" w:hAnsi="黑体" w:eastAsia="黑体"/>
          <w:sz w:val="32"/>
          <w:szCs w:val="32"/>
        </w:rPr>
        <w:t>一、总体情况</w:t>
      </w:r>
    </w:p>
    <w:p>
      <w:pPr>
        <w:spacing w:line="360" w:lineRule="auto"/>
        <w:ind w:firstLine="640" w:firstLineChars="200"/>
        <w:rPr>
          <w:rFonts w:hint="eastAsia"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2019年，辽中区市场监督管理局在区委、区政府的领导下，</w:t>
      </w:r>
      <w:r>
        <w:rPr>
          <w:rStyle w:val="7"/>
          <w:rFonts w:hint="eastAsia" w:ascii="仿宋" w:hAnsi="仿宋" w:eastAsia="仿宋"/>
          <w:i w:val="0"/>
          <w:iCs w:val="0"/>
          <w:color w:val="000000"/>
          <w:sz w:val="32"/>
          <w:szCs w:val="32"/>
          <w:shd w:val="clear" w:color="auto" w:fill="FFFFFF"/>
        </w:rPr>
        <w:t>以习近平新时代中国特色社会主义思想为指导，全面贯彻党的十九大和十九届二中、三中、四中全会精神，深入落实国家和省、市、区有关决策部署和新修订《中华人民共和国政府信息公开条例》，紧紧围绕2019年政务公开重点工作安排，扎实推进决策、执行、管理、服务、结果“五公开”</w:t>
      </w:r>
      <w:r>
        <w:rPr>
          <w:rFonts w:hint="eastAsia" w:ascii="仿宋_GB2312" w:eastAsia="仿宋_GB2312"/>
          <w:color w:val="000000"/>
          <w:sz w:val="32"/>
          <w:szCs w:val="32"/>
          <w:shd w:val="clear" w:color="auto" w:fill="FFFFFF"/>
        </w:rPr>
        <w:t>，准确把握市场监管工作规律和特点，加大信息公开力度，明确公开重点，细化公开内容，增强公开实效，不断提高市场监管工作的透明度，全局信息公开工作有效落实。</w:t>
      </w:r>
    </w:p>
    <w:p>
      <w:pPr>
        <w:spacing w:line="360" w:lineRule="auto"/>
        <w:ind w:firstLine="640" w:firstLineChars="200"/>
        <w:rPr>
          <w:rFonts w:hint="eastAsia" w:ascii="楷体" w:hAnsi="楷体" w:eastAsia="楷体"/>
          <w:color w:val="000000"/>
          <w:sz w:val="32"/>
          <w:szCs w:val="32"/>
          <w:shd w:val="clear" w:color="auto" w:fill="FFFFFF"/>
        </w:rPr>
      </w:pPr>
      <w:r>
        <w:rPr>
          <w:rFonts w:hint="eastAsia" w:ascii="楷体" w:hAnsi="楷体" w:eastAsia="楷体"/>
          <w:color w:val="000000"/>
          <w:sz w:val="32"/>
          <w:szCs w:val="32"/>
          <w:shd w:val="clear" w:color="auto" w:fill="FFFFFF"/>
        </w:rPr>
        <w:t>（一）主动公开情况</w:t>
      </w:r>
    </w:p>
    <w:p>
      <w:pPr>
        <w:spacing w:line="360" w:lineRule="auto"/>
        <w:ind w:firstLine="640" w:firstLineChars="200"/>
        <w:rPr>
          <w:rFonts w:hint="eastAsia"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通过区政府门户网站相关栏目及全国企业信用信息全国企业信用信息公示系统（辽宁）等平台，按照“五公开”要求及时公开各类市场监管信息。全年，在区政府门户网站公开了市场监管、食品药品、行政执法、部门动态、政协提案、机构职能等信息共计98条。</w:t>
      </w:r>
    </w:p>
    <w:p>
      <w:pPr>
        <w:spacing w:line="360" w:lineRule="auto"/>
        <w:ind w:firstLine="640" w:firstLineChars="200"/>
        <w:rPr>
          <w:rFonts w:hint="eastAsia" w:ascii="楷体" w:hAnsi="楷体" w:eastAsia="楷体"/>
          <w:color w:val="000000"/>
          <w:sz w:val="32"/>
          <w:szCs w:val="32"/>
          <w:shd w:val="clear" w:color="auto" w:fill="FFFFFF"/>
        </w:rPr>
      </w:pPr>
      <w:r>
        <w:rPr>
          <w:rFonts w:hint="eastAsia" w:ascii="楷体" w:hAnsi="楷体" w:eastAsia="楷体"/>
          <w:color w:val="000000"/>
          <w:sz w:val="32"/>
          <w:szCs w:val="32"/>
          <w:shd w:val="clear" w:color="auto" w:fill="FFFFFF"/>
        </w:rPr>
        <w:t>（二）政策解读情况</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 w:hAnsi="仿宋" w:eastAsia="仿宋"/>
          <w:sz w:val="32"/>
          <w:szCs w:val="32"/>
        </w:rPr>
        <w:t>2019年，按照区政府政务公开工作要求，做好政策解读工作。一是</w:t>
      </w:r>
      <w:r>
        <w:rPr>
          <w:rFonts w:hint="eastAsia" w:ascii="仿宋_GB2312" w:hAnsi="宋体" w:eastAsia="仿宋_GB2312" w:cs="宋体"/>
          <w:kern w:val="0"/>
          <w:sz w:val="32"/>
          <w:szCs w:val="32"/>
        </w:rPr>
        <w:t>利用5·15政务公开日，在商业街商业大厦正门门前设展台、展板，由局办公室牵头，相关业务科室密切协作，为企业和群众答疑解惑，征求工作意见，解决营商环境、消费维权、食品药品安全、特种设备安全、政务服务等热点问题。活动中，共发放营商环境、消费维权、食品药品安全、农用物资购买常识等实用宣传手册300余本、宣传单200余份，现场解答群众咨询20余人次。二是利用“万人进万企活动”，领导干部与帮扶企业进行对接，深入企业，宣传市场监管方面法律法规与最新政策。三是开展营商下午茶活动，面对面解决与企业发展息息相关的政策问题。</w:t>
      </w:r>
    </w:p>
    <w:p>
      <w:pPr>
        <w:spacing w:line="360" w:lineRule="auto"/>
        <w:ind w:firstLine="640" w:firstLineChars="200"/>
        <w:rPr>
          <w:rFonts w:hint="eastAsia" w:ascii="楷体" w:hAnsi="楷体" w:eastAsia="楷体"/>
          <w:sz w:val="32"/>
          <w:szCs w:val="32"/>
        </w:rPr>
      </w:pPr>
      <w:r>
        <w:rPr>
          <w:rFonts w:hint="eastAsia" w:ascii="楷体" w:hAnsi="楷体" w:eastAsia="楷体" w:cs="宋体"/>
          <w:kern w:val="0"/>
          <w:sz w:val="32"/>
          <w:szCs w:val="32"/>
        </w:rPr>
        <w:t>（三）</w:t>
      </w:r>
      <w:r>
        <w:rPr>
          <w:rFonts w:hint="eastAsia" w:ascii="楷体" w:hAnsi="楷体" w:eastAsia="楷体"/>
          <w:sz w:val="32"/>
          <w:szCs w:val="32"/>
        </w:rPr>
        <w:t>建议提案办理结果公开情况</w:t>
      </w:r>
    </w:p>
    <w:p>
      <w:pPr>
        <w:spacing w:line="360" w:lineRule="auto"/>
        <w:ind w:firstLine="640" w:firstLineChars="200"/>
        <w:rPr>
          <w:rFonts w:hint="eastAsia" w:ascii="仿宋" w:hAnsi="仿宋" w:eastAsia="仿宋"/>
          <w:sz w:val="32"/>
          <w:szCs w:val="32"/>
        </w:rPr>
      </w:pPr>
      <w:r>
        <w:rPr>
          <w:rFonts w:hint="eastAsia" w:ascii="仿宋_GB2312" w:eastAsia="仿宋_GB2312"/>
          <w:sz w:val="32"/>
          <w:szCs w:val="32"/>
        </w:rPr>
        <w:t>2019年度，我局主办政协提案3件，其中1件为重点提案，</w:t>
      </w:r>
      <w:r>
        <w:rPr>
          <w:rFonts w:hint="eastAsia" w:ascii="仿宋" w:hAnsi="仿宋" w:eastAsia="仿宋"/>
          <w:sz w:val="32"/>
          <w:szCs w:val="32"/>
        </w:rPr>
        <w:t>均在要求时限内办理完毕</w:t>
      </w:r>
      <w:r>
        <w:rPr>
          <w:rFonts w:hint="eastAsia" w:ascii="仿宋_GB2312" w:eastAsia="仿宋_GB2312"/>
          <w:sz w:val="32"/>
          <w:szCs w:val="32"/>
        </w:rPr>
        <w:t>，</w:t>
      </w:r>
      <w:r>
        <w:rPr>
          <w:rFonts w:hint="eastAsia" w:ascii="仿宋" w:hAnsi="仿宋" w:eastAsia="仿宋"/>
          <w:sz w:val="32"/>
          <w:szCs w:val="32"/>
        </w:rPr>
        <w:t>政协委员满意率100%，并做到了及时公开。</w:t>
      </w:r>
    </w:p>
    <w:p>
      <w:pPr>
        <w:spacing w:line="360" w:lineRule="auto"/>
        <w:ind w:firstLine="640" w:firstLineChars="200"/>
        <w:rPr>
          <w:rFonts w:hint="eastAsia" w:ascii="黑体" w:hAnsi="黑体" w:eastAsia="黑体" w:cs="宋体"/>
          <w:kern w:val="0"/>
          <w:sz w:val="32"/>
          <w:szCs w:val="32"/>
        </w:rPr>
      </w:pPr>
      <w:r>
        <w:rPr>
          <w:rFonts w:hint="eastAsia" w:ascii="黑体" w:hAnsi="黑体" w:eastAsia="黑体" w:cs="宋体"/>
          <w:kern w:val="0"/>
          <w:sz w:val="32"/>
          <w:szCs w:val="32"/>
        </w:rPr>
        <w:t>二、主动公开政府信息情况</w:t>
      </w:r>
    </w:p>
    <w:tbl>
      <w:tblPr>
        <w:tblStyle w:val="5"/>
        <w:tblpPr w:leftFromText="180" w:rightFromText="180" w:vertAnchor="text" w:horzAnchor="page" w:tblpX="2042" w:tblpY="613"/>
        <w:tblOverlap w:val="never"/>
        <w:tblW w:w="8140" w:type="dxa"/>
        <w:tblInd w:w="0" w:type="dxa"/>
        <w:tblLayout w:type="fixed"/>
        <w:tblCellMar>
          <w:top w:w="0" w:type="dxa"/>
          <w:left w:w="108" w:type="dxa"/>
          <w:bottom w:w="0" w:type="dxa"/>
          <w:right w:w="108" w:type="dxa"/>
        </w:tblCellMar>
      </w:tblPr>
      <w:tblGrid>
        <w:gridCol w:w="3113"/>
        <w:gridCol w:w="1875"/>
        <w:gridCol w:w="1271"/>
        <w:gridCol w:w="1881"/>
      </w:tblGrid>
      <w:tr>
        <w:tblPrEx>
          <w:tblCellMar>
            <w:top w:w="0" w:type="dxa"/>
            <w:left w:w="108" w:type="dxa"/>
            <w:bottom w:w="0" w:type="dxa"/>
            <w:right w:w="108" w:type="dxa"/>
          </w:tblCellMar>
        </w:tblPrEx>
        <w:trPr>
          <w:trHeight w:val="495" w:hRule="atLeast"/>
        </w:trPr>
        <w:tc>
          <w:tcPr>
            <w:tcW w:w="8140" w:type="dxa"/>
            <w:gridSpan w:val="4"/>
            <w:tcBorders>
              <w:top w:val="single" w:color="auto" w:sz="4" w:space="0"/>
              <w:left w:val="single" w:color="auto" w:sz="4" w:space="0"/>
              <w:bottom w:val="single" w:color="auto" w:sz="4" w:space="0"/>
              <w:right w:val="single" w:color="auto" w:sz="4" w:space="0"/>
            </w:tcBorders>
            <w:shd w:val="clear" w:color="auto" w:fill="C6D9F1"/>
            <w:noWrap/>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宋体" w:hAnsi="宋体" w:eastAsia="宋体" w:cs="宋体"/>
                <w:color w:val="000000"/>
                <w:kern w:val="0"/>
                <w:sz w:val="20"/>
                <w:szCs w:val="20"/>
              </w:rPr>
              <w:t>第二十条第（一）项</w:t>
            </w:r>
          </w:p>
        </w:tc>
      </w:tr>
      <w:tr>
        <w:tblPrEx>
          <w:tblCellMar>
            <w:top w:w="0" w:type="dxa"/>
            <w:left w:w="108" w:type="dxa"/>
            <w:bottom w:w="0" w:type="dxa"/>
            <w:right w:w="108" w:type="dxa"/>
          </w:tblCellMar>
        </w:tblPrEx>
        <w:trPr>
          <w:trHeight w:val="882" w:hRule="atLeast"/>
        </w:trPr>
        <w:tc>
          <w:tcPr>
            <w:tcW w:w="3113" w:type="dxa"/>
            <w:tcBorders>
              <w:top w:val="nil"/>
              <w:left w:val="single" w:color="auto" w:sz="4" w:space="0"/>
              <w:bottom w:val="single" w:color="auto" w:sz="4" w:space="0"/>
              <w:right w:val="single" w:color="auto" w:sz="4" w:space="0"/>
            </w:tcBorders>
            <w:noWrap/>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宋体" w:hAnsi="宋体" w:eastAsia="宋体" w:cs="宋体"/>
                <w:color w:val="000000"/>
                <w:kern w:val="0"/>
                <w:sz w:val="20"/>
                <w:szCs w:val="20"/>
              </w:rPr>
              <w:t>信息内容</w:t>
            </w:r>
          </w:p>
        </w:tc>
        <w:tc>
          <w:tcPr>
            <w:tcW w:w="1875" w:type="dxa"/>
            <w:tcBorders>
              <w:top w:val="single" w:color="auto" w:sz="4" w:space="0"/>
              <w:left w:val="nil"/>
              <w:bottom w:val="single" w:color="auto" w:sz="4" w:space="0"/>
              <w:right w:val="single" w:color="auto" w:sz="4" w:space="0"/>
            </w:tcBorders>
            <w:noWrap/>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宋体" w:hAnsi="宋体" w:eastAsia="宋体" w:cs="宋体"/>
                <w:color w:val="000000"/>
                <w:kern w:val="0"/>
                <w:sz w:val="20"/>
                <w:szCs w:val="20"/>
              </w:rPr>
              <w:t>本年新</w:t>
            </w:r>
            <w:r>
              <w:rPr>
                <w:rFonts w:hint="eastAsia" w:ascii="宋体" w:hAnsi="宋体" w:eastAsia="宋体" w:cs="宋体"/>
                <w:color w:val="000000"/>
                <w:kern w:val="0"/>
                <w:sz w:val="20"/>
                <w:szCs w:val="20"/>
              </w:rPr>
              <w:br w:type="textWrapping"/>
            </w:r>
            <w:r>
              <w:rPr>
                <w:rFonts w:hint="eastAsia" w:ascii="宋体" w:hAnsi="宋体" w:eastAsia="宋体" w:cs="宋体"/>
                <w:color w:val="333333"/>
                <w:kern w:val="0"/>
                <w:sz w:val="20"/>
                <w:szCs w:val="20"/>
              </w:rPr>
              <w:t>制作数量</w:t>
            </w:r>
          </w:p>
        </w:tc>
        <w:tc>
          <w:tcPr>
            <w:tcW w:w="127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宋体" w:hAnsi="宋体" w:eastAsia="宋体" w:cs="宋体"/>
                <w:color w:val="000000"/>
                <w:kern w:val="0"/>
                <w:sz w:val="20"/>
                <w:szCs w:val="20"/>
              </w:rPr>
              <w:t>本年新</w:t>
            </w:r>
            <w:r>
              <w:rPr>
                <w:rFonts w:hint="eastAsia" w:ascii="宋体" w:hAnsi="宋体" w:eastAsia="宋体" w:cs="宋体"/>
                <w:color w:val="000000"/>
                <w:kern w:val="0"/>
                <w:sz w:val="20"/>
                <w:szCs w:val="20"/>
              </w:rPr>
              <w:br w:type="textWrapping"/>
            </w:r>
            <w:r>
              <w:rPr>
                <w:rFonts w:hint="eastAsia" w:ascii="宋体" w:hAnsi="宋体" w:eastAsia="宋体" w:cs="宋体"/>
                <w:color w:val="333333"/>
                <w:kern w:val="0"/>
                <w:sz w:val="20"/>
                <w:szCs w:val="20"/>
              </w:rPr>
              <w:t>公开数量</w:t>
            </w:r>
          </w:p>
        </w:tc>
        <w:tc>
          <w:tcPr>
            <w:tcW w:w="1881" w:type="dxa"/>
            <w:tcBorders>
              <w:top w:val="nil"/>
              <w:left w:val="nil"/>
              <w:bottom w:val="single" w:color="auto" w:sz="4" w:space="0"/>
              <w:right w:val="single" w:color="auto" w:sz="4" w:space="0"/>
            </w:tcBorders>
            <w:noWrap/>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宋体" w:hAnsi="宋体" w:eastAsia="宋体" w:cs="宋体"/>
                <w:color w:val="000000"/>
                <w:kern w:val="0"/>
                <w:sz w:val="20"/>
                <w:szCs w:val="20"/>
              </w:rPr>
              <w:t>对外公开总数量</w:t>
            </w:r>
          </w:p>
        </w:tc>
      </w:tr>
      <w:tr>
        <w:tblPrEx>
          <w:tblCellMar>
            <w:top w:w="0" w:type="dxa"/>
            <w:left w:w="108" w:type="dxa"/>
            <w:bottom w:w="0" w:type="dxa"/>
            <w:right w:w="108" w:type="dxa"/>
          </w:tblCellMar>
        </w:tblPrEx>
        <w:trPr>
          <w:trHeight w:val="523" w:hRule="atLeast"/>
        </w:trPr>
        <w:tc>
          <w:tcPr>
            <w:tcW w:w="3113" w:type="dxa"/>
            <w:tcBorders>
              <w:top w:val="nil"/>
              <w:left w:val="single" w:color="auto" w:sz="4" w:space="0"/>
              <w:bottom w:val="single" w:color="auto" w:sz="4" w:space="0"/>
              <w:right w:val="single" w:color="auto" w:sz="4" w:space="0"/>
            </w:tcBorders>
            <w:noWrap/>
            <w:vAlign w:val="center"/>
          </w:tcPr>
          <w:p>
            <w:pPr>
              <w:widowControl/>
              <w:spacing w:before="100" w:beforeAutospacing="1" w:after="180" w:line="480" w:lineRule="auto"/>
              <w:jc w:val="left"/>
              <w:rPr>
                <w:rFonts w:ascii="宋体" w:hAnsi="宋体" w:eastAsia="宋体" w:cs="宋体"/>
                <w:color w:val="333333"/>
                <w:kern w:val="0"/>
                <w:szCs w:val="21"/>
              </w:rPr>
            </w:pPr>
            <w:r>
              <w:rPr>
                <w:rFonts w:hint="eastAsia" w:ascii="宋体" w:hAnsi="宋体" w:eastAsia="宋体" w:cs="宋体"/>
                <w:color w:val="000000"/>
                <w:kern w:val="0"/>
                <w:sz w:val="20"/>
                <w:szCs w:val="20"/>
              </w:rPr>
              <w:t>规章</w:t>
            </w:r>
          </w:p>
        </w:tc>
        <w:tc>
          <w:tcPr>
            <w:tcW w:w="1875" w:type="dxa"/>
            <w:tcBorders>
              <w:top w:val="single" w:color="auto" w:sz="4" w:space="0"/>
              <w:left w:val="nil"/>
              <w:bottom w:val="single" w:color="auto" w:sz="4" w:space="0"/>
              <w:right w:val="single" w:color="auto" w:sz="4" w:space="0"/>
            </w:tcBorders>
            <w:noWrap/>
            <w:vAlign w:val="center"/>
          </w:tcPr>
          <w:p>
            <w:pPr>
              <w:widowControl/>
              <w:spacing w:before="100" w:beforeAutospacing="1" w:after="180" w:line="480" w:lineRule="auto"/>
              <w:jc w:val="left"/>
              <w:rPr>
                <w:rFonts w:ascii="宋体" w:hAnsi="宋体" w:eastAsia="宋体" w:cs="宋体"/>
                <w:color w:val="333333"/>
                <w:kern w:val="0"/>
                <w:szCs w:val="21"/>
              </w:rPr>
            </w:pPr>
            <w:r>
              <w:rPr>
                <w:rFonts w:hint="eastAsia" w:ascii="宋体" w:hAnsi="宋体" w:eastAsia="宋体" w:cs="宋体"/>
                <w:color w:val="000000"/>
                <w:kern w:val="0"/>
                <w:sz w:val="20"/>
                <w:szCs w:val="20"/>
              </w:rPr>
              <w:t xml:space="preserve">  0</w:t>
            </w:r>
          </w:p>
        </w:tc>
        <w:tc>
          <w:tcPr>
            <w:tcW w:w="127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ascii="宋体" w:hAnsi="宋体" w:eastAsia="宋体" w:cs="宋体"/>
                <w:color w:val="333333"/>
                <w:kern w:val="0"/>
                <w:szCs w:val="21"/>
              </w:rPr>
            </w:pPr>
            <w:r>
              <w:rPr>
                <w:rFonts w:hint="eastAsia" w:ascii="宋体" w:hAnsi="Calibri" w:eastAsia="宋体" w:cs="Times New Roman"/>
                <w:color w:val="000000"/>
                <w:kern w:val="0"/>
                <w:sz w:val="20"/>
                <w:szCs w:val="20"/>
              </w:rPr>
              <w:t> 0</w:t>
            </w:r>
          </w:p>
        </w:tc>
        <w:tc>
          <w:tcPr>
            <w:tcW w:w="1881" w:type="dxa"/>
            <w:tcBorders>
              <w:top w:val="nil"/>
              <w:left w:val="nil"/>
              <w:bottom w:val="single" w:color="auto" w:sz="4" w:space="0"/>
              <w:right w:val="single" w:color="auto" w:sz="4" w:space="0"/>
            </w:tcBorders>
            <w:noWrap/>
            <w:vAlign w:val="center"/>
          </w:tcPr>
          <w:p>
            <w:pPr>
              <w:widowControl/>
              <w:spacing w:before="100" w:beforeAutospacing="1" w:after="180" w:line="480" w:lineRule="auto"/>
              <w:jc w:val="left"/>
              <w:rPr>
                <w:rFonts w:ascii="宋体" w:hAnsi="宋体" w:eastAsia="宋体" w:cs="宋体"/>
                <w:color w:val="333333"/>
                <w:kern w:val="0"/>
                <w:szCs w:val="21"/>
              </w:rPr>
            </w:pPr>
            <w:r>
              <w:rPr>
                <w:rFonts w:hint="eastAsia" w:ascii="宋体" w:hAnsi="宋体" w:eastAsia="宋体" w:cs="宋体"/>
                <w:color w:val="000000"/>
                <w:kern w:val="0"/>
                <w:sz w:val="20"/>
                <w:szCs w:val="20"/>
              </w:rPr>
              <w:t>　0</w:t>
            </w:r>
          </w:p>
        </w:tc>
      </w:tr>
      <w:tr>
        <w:tblPrEx>
          <w:tblCellMar>
            <w:top w:w="0" w:type="dxa"/>
            <w:left w:w="108" w:type="dxa"/>
            <w:bottom w:w="0" w:type="dxa"/>
            <w:right w:w="108" w:type="dxa"/>
          </w:tblCellMar>
        </w:tblPrEx>
        <w:trPr>
          <w:trHeight w:val="471" w:hRule="atLeast"/>
        </w:trPr>
        <w:tc>
          <w:tcPr>
            <w:tcW w:w="3113" w:type="dxa"/>
            <w:tcBorders>
              <w:top w:val="nil"/>
              <w:left w:val="single" w:color="auto" w:sz="4" w:space="0"/>
              <w:bottom w:val="single" w:color="auto" w:sz="4" w:space="0"/>
              <w:right w:val="single" w:color="auto" w:sz="4" w:space="0"/>
            </w:tcBorders>
            <w:noWrap/>
            <w:vAlign w:val="center"/>
          </w:tcPr>
          <w:p>
            <w:pPr>
              <w:widowControl/>
              <w:spacing w:before="100" w:beforeAutospacing="1" w:after="180" w:line="480" w:lineRule="auto"/>
              <w:jc w:val="left"/>
              <w:rPr>
                <w:rFonts w:ascii="宋体" w:hAnsi="宋体" w:eastAsia="宋体" w:cs="宋体"/>
                <w:color w:val="333333"/>
                <w:kern w:val="0"/>
                <w:szCs w:val="21"/>
              </w:rPr>
            </w:pPr>
            <w:r>
              <w:rPr>
                <w:rFonts w:hint="eastAsia" w:ascii="宋体" w:hAnsi="宋体" w:eastAsia="宋体" w:cs="宋体"/>
                <w:color w:val="000000"/>
                <w:kern w:val="0"/>
                <w:sz w:val="20"/>
                <w:szCs w:val="20"/>
              </w:rPr>
              <w:t>规范性文件</w:t>
            </w:r>
          </w:p>
        </w:tc>
        <w:tc>
          <w:tcPr>
            <w:tcW w:w="1875" w:type="dxa"/>
            <w:tcBorders>
              <w:top w:val="nil"/>
              <w:left w:val="nil"/>
              <w:bottom w:val="single" w:color="auto" w:sz="4" w:space="0"/>
              <w:right w:val="single" w:color="auto" w:sz="4" w:space="0"/>
            </w:tcBorders>
            <w:noWrap/>
            <w:vAlign w:val="center"/>
          </w:tcPr>
          <w:p>
            <w:pPr>
              <w:widowControl/>
              <w:spacing w:before="100" w:beforeAutospacing="1" w:after="180" w:line="480" w:lineRule="auto"/>
              <w:jc w:val="left"/>
              <w:rPr>
                <w:rFonts w:ascii="宋体" w:hAnsi="宋体" w:eastAsia="宋体" w:cs="宋体"/>
                <w:color w:val="333333"/>
                <w:kern w:val="0"/>
                <w:szCs w:val="21"/>
              </w:rPr>
            </w:pPr>
            <w:r>
              <w:rPr>
                <w:rFonts w:hint="eastAsia" w:ascii="宋体" w:hAnsi="宋体" w:eastAsia="宋体" w:cs="宋体"/>
                <w:color w:val="000000"/>
                <w:kern w:val="0"/>
                <w:sz w:val="20"/>
                <w:szCs w:val="20"/>
              </w:rPr>
              <w:t xml:space="preserve">  0</w:t>
            </w:r>
          </w:p>
        </w:tc>
        <w:tc>
          <w:tcPr>
            <w:tcW w:w="1271" w:type="dxa"/>
            <w:tcBorders>
              <w:top w:val="nil"/>
              <w:left w:val="nil"/>
              <w:bottom w:val="single" w:color="auto" w:sz="4" w:space="0"/>
              <w:right w:val="single" w:color="auto" w:sz="4" w:space="0"/>
            </w:tcBorders>
            <w:vAlign w:val="center"/>
          </w:tcPr>
          <w:p>
            <w:pPr>
              <w:widowControl/>
              <w:spacing w:before="100" w:beforeAutospacing="1" w:after="180" w:line="480" w:lineRule="auto"/>
              <w:jc w:val="left"/>
              <w:rPr>
                <w:rFonts w:ascii="宋体" w:hAnsi="宋体" w:eastAsia="宋体" w:cs="宋体"/>
                <w:color w:val="333333"/>
                <w:kern w:val="0"/>
                <w:szCs w:val="21"/>
              </w:rPr>
            </w:pPr>
            <w:r>
              <w:rPr>
                <w:rFonts w:hint="eastAsia" w:ascii="宋体" w:hAnsi="Calibri" w:eastAsia="宋体" w:cs="Times New Roman"/>
                <w:color w:val="000000"/>
                <w:kern w:val="0"/>
                <w:sz w:val="20"/>
                <w:szCs w:val="20"/>
              </w:rPr>
              <w:t> 0</w:t>
            </w:r>
          </w:p>
        </w:tc>
        <w:tc>
          <w:tcPr>
            <w:tcW w:w="1881" w:type="dxa"/>
            <w:tcBorders>
              <w:top w:val="nil"/>
              <w:left w:val="nil"/>
              <w:bottom w:val="single" w:color="auto" w:sz="4" w:space="0"/>
              <w:right w:val="single" w:color="auto" w:sz="4" w:space="0"/>
            </w:tcBorders>
            <w:noWrap/>
            <w:vAlign w:val="center"/>
          </w:tcPr>
          <w:p>
            <w:pPr>
              <w:widowControl/>
              <w:spacing w:before="100" w:beforeAutospacing="1" w:after="180" w:line="480" w:lineRule="auto"/>
              <w:jc w:val="left"/>
              <w:rPr>
                <w:rFonts w:ascii="宋体" w:hAnsi="宋体" w:eastAsia="宋体" w:cs="宋体"/>
                <w:color w:val="333333"/>
                <w:kern w:val="0"/>
                <w:szCs w:val="21"/>
              </w:rPr>
            </w:pPr>
            <w:r>
              <w:rPr>
                <w:rFonts w:hint="eastAsia" w:ascii="宋体" w:hAnsi="宋体" w:eastAsia="宋体" w:cs="宋体"/>
                <w:color w:val="000000"/>
                <w:kern w:val="0"/>
                <w:sz w:val="20"/>
                <w:szCs w:val="20"/>
              </w:rPr>
              <w:t>　0</w:t>
            </w:r>
          </w:p>
        </w:tc>
      </w:tr>
      <w:tr>
        <w:tblPrEx>
          <w:tblCellMar>
            <w:top w:w="0" w:type="dxa"/>
            <w:left w:w="108" w:type="dxa"/>
            <w:bottom w:w="0" w:type="dxa"/>
            <w:right w:w="108" w:type="dxa"/>
          </w:tblCellMar>
        </w:tblPrEx>
        <w:trPr>
          <w:trHeight w:val="480" w:hRule="atLeast"/>
        </w:trPr>
        <w:tc>
          <w:tcPr>
            <w:tcW w:w="8140" w:type="dxa"/>
            <w:gridSpan w:val="4"/>
            <w:tcBorders>
              <w:top w:val="single" w:color="auto" w:sz="4" w:space="0"/>
              <w:left w:val="single" w:color="auto" w:sz="4" w:space="0"/>
              <w:bottom w:val="single" w:color="auto" w:sz="4" w:space="0"/>
              <w:right w:val="single" w:color="auto" w:sz="4" w:space="0"/>
            </w:tcBorders>
            <w:shd w:val="clear" w:color="auto" w:fill="C6D9F1"/>
            <w:noWrap/>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宋体" w:hAnsi="宋体" w:eastAsia="宋体" w:cs="宋体"/>
                <w:color w:val="000000"/>
                <w:kern w:val="0"/>
                <w:sz w:val="20"/>
                <w:szCs w:val="20"/>
              </w:rPr>
              <w:t>第二十条第（五）项</w:t>
            </w:r>
          </w:p>
        </w:tc>
      </w:tr>
      <w:tr>
        <w:tblPrEx>
          <w:tblCellMar>
            <w:top w:w="0" w:type="dxa"/>
            <w:left w:w="108" w:type="dxa"/>
            <w:bottom w:w="0" w:type="dxa"/>
            <w:right w:w="108" w:type="dxa"/>
          </w:tblCellMar>
        </w:tblPrEx>
        <w:trPr>
          <w:trHeight w:val="634" w:hRule="atLeast"/>
        </w:trPr>
        <w:tc>
          <w:tcPr>
            <w:tcW w:w="3113" w:type="dxa"/>
            <w:tcBorders>
              <w:top w:val="nil"/>
              <w:left w:val="single" w:color="auto" w:sz="4" w:space="0"/>
              <w:bottom w:val="single" w:color="auto" w:sz="4" w:space="0"/>
              <w:right w:val="single" w:color="auto" w:sz="4" w:space="0"/>
            </w:tcBorders>
            <w:noWrap/>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宋体" w:hAnsi="宋体" w:eastAsia="宋体" w:cs="宋体"/>
                <w:color w:val="000000"/>
                <w:kern w:val="0"/>
                <w:sz w:val="20"/>
                <w:szCs w:val="20"/>
              </w:rPr>
              <w:t>信息内容</w:t>
            </w:r>
          </w:p>
        </w:tc>
        <w:tc>
          <w:tcPr>
            <w:tcW w:w="1875" w:type="dxa"/>
            <w:tcBorders>
              <w:top w:val="single" w:color="auto" w:sz="4" w:space="0"/>
              <w:left w:val="nil"/>
              <w:bottom w:val="single" w:color="auto" w:sz="4" w:space="0"/>
              <w:right w:val="single" w:color="auto" w:sz="4" w:space="0"/>
            </w:tcBorders>
            <w:noWrap/>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宋体" w:hAnsi="宋体" w:eastAsia="宋体" w:cs="宋体"/>
                <w:color w:val="000000"/>
                <w:kern w:val="0"/>
                <w:sz w:val="20"/>
                <w:szCs w:val="20"/>
              </w:rPr>
              <w:t>上一年项目数量</w:t>
            </w:r>
          </w:p>
        </w:tc>
        <w:tc>
          <w:tcPr>
            <w:tcW w:w="127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宋体" w:hAnsi="宋体" w:eastAsia="宋体" w:cs="宋体"/>
                <w:color w:val="000000"/>
                <w:kern w:val="0"/>
                <w:sz w:val="20"/>
                <w:szCs w:val="20"/>
              </w:rPr>
              <w:t>本年增/减</w:t>
            </w:r>
          </w:p>
        </w:tc>
        <w:tc>
          <w:tcPr>
            <w:tcW w:w="1881" w:type="dxa"/>
            <w:tcBorders>
              <w:top w:val="nil"/>
              <w:left w:val="nil"/>
              <w:bottom w:val="single" w:color="auto" w:sz="4" w:space="0"/>
              <w:right w:val="single" w:color="auto" w:sz="4" w:space="0"/>
            </w:tcBorders>
            <w:noWrap/>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宋体" w:hAnsi="宋体" w:eastAsia="宋体" w:cs="宋体"/>
                <w:color w:val="000000"/>
                <w:kern w:val="0"/>
                <w:sz w:val="20"/>
                <w:szCs w:val="20"/>
              </w:rPr>
              <w:t>处理决定数量</w:t>
            </w:r>
          </w:p>
        </w:tc>
      </w:tr>
      <w:tr>
        <w:tblPrEx>
          <w:tblCellMar>
            <w:top w:w="0" w:type="dxa"/>
            <w:left w:w="108" w:type="dxa"/>
            <w:bottom w:w="0" w:type="dxa"/>
            <w:right w:w="108" w:type="dxa"/>
          </w:tblCellMar>
        </w:tblPrEx>
        <w:trPr>
          <w:trHeight w:val="528" w:hRule="atLeast"/>
        </w:trPr>
        <w:tc>
          <w:tcPr>
            <w:tcW w:w="3113" w:type="dxa"/>
            <w:tcBorders>
              <w:top w:val="nil"/>
              <w:left w:val="single" w:color="auto" w:sz="4" w:space="0"/>
              <w:bottom w:val="single" w:color="auto" w:sz="4" w:space="0"/>
              <w:right w:val="single" w:color="auto" w:sz="4" w:space="0"/>
            </w:tcBorders>
            <w:noWrap/>
            <w:vAlign w:val="center"/>
          </w:tcPr>
          <w:p>
            <w:pPr>
              <w:widowControl/>
              <w:spacing w:before="100" w:beforeAutospacing="1" w:after="180" w:line="480" w:lineRule="auto"/>
              <w:jc w:val="left"/>
              <w:rPr>
                <w:rFonts w:ascii="宋体" w:hAnsi="宋体" w:eastAsia="宋体" w:cs="宋体"/>
                <w:color w:val="333333"/>
                <w:kern w:val="0"/>
                <w:szCs w:val="21"/>
              </w:rPr>
            </w:pPr>
            <w:r>
              <w:rPr>
                <w:rFonts w:hint="eastAsia" w:ascii="宋体" w:hAnsi="宋体" w:eastAsia="宋体" w:cs="宋体"/>
                <w:color w:val="000000"/>
                <w:kern w:val="0"/>
                <w:sz w:val="20"/>
                <w:szCs w:val="20"/>
              </w:rPr>
              <w:t>行政许可</w:t>
            </w:r>
          </w:p>
        </w:tc>
        <w:tc>
          <w:tcPr>
            <w:tcW w:w="1875" w:type="dxa"/>
            <w:tcBorders>
              <w:top w:val="nil"/>
              <w:left w:val="nil"/>
              <w:bottom w:val="single" w:color="auto" w:sz="4" w:space="0"/>
              <w:right w:val="single" w:color="auto" w:sz="4" w:space="0"/>
            </w:tcBorders>
            <w:noWrap/>
            <w:vAlign w:val="center"/>
          </w:tcPr>
          <w:p>
            <w:pPr>
              <w:widowControl/>
              <w:spacing w:before="100" w:beforeAutospacing="1" w:after="180" w:line="480" w:lineRule="auto"/>
              <w:jc w:val="left"/>
              <w:rPr>
                <w:rFonts w:ascii="宋体" w:hAnsi="宋体" w:eastAsia="宋体" w:cs="宋体"/>
                <w:color w:val="333333"/>
                <w:kern w:val="0"/>
                <w:szCs w:val="21"/>
              </w:rPr>
            </w:pPr>
            <w:r>
              <w:rPr>
                <w:rFonts w:hint="eastAsia" w:ascii="宋体" w:hAnsi="宋体" w:eastAsia="宋体" w:cs="宋体"/>
                <w:color w:val="000000"/>
                <w:kern w:val="0"/>
                <w:sz w:val="20"/>
                <w:szCs w:val="20"/>
              </w:rPr>
              <w:t>　9927</w:t>
            </w:r>
          </w:p>
        </w:tc>
        <w:tc>
          <w:tcPr>
            <w:tcW w:w="1271" w:type="dxa"/>
            <w:tcBorders>
              <w:top w:val="nil"/>
              <w:left w:val="nil"/>
              <w:bottom w:val="single" w:color="auto" w:sz="4" w:space="0"/>
              <w:right w:val="single" w:color="auto" w:sz="4" w:space="0"/>
            </w:tcBorders>
            <w:noWrap/>
            <w:vAlign w:val="center"/>
          </w:tcPr>
          <w:p>
            <w:pPr>
              <w:widowControl/>
              <w:spacing w:before="100" w:beforeAutospacing="1" w:after="180" w:line="480" w:lineRule="auto"/>
              <w:jc w:val="left"/>
              <w:rPr>
                <w:rFonts w:ascii="宋体" w:hAnsi="宋体" w:eastAsia="宋体" w:cs="宋体"/>
                <w:color w:val="333333"/>
                <w:kern w:val="0"/>
                <w:szCs w:val="21"/>
              </w:rPr>
            </w:pPr>
            <w:r>
              <w:rPr>
                <w:rFonts w:hint="eastAsia" w:ascii="宋体" w:hAnsi="宋体" w:eastAsia="宋体" w:cs="宋体"/>
                <w:color w:val="000000"/>
                <w:kern w:val="0"/>
                <w:sz w:val="20"/>
                <w:szCs w:val="20"/>
              </w:rPr>
              <w:t>减2098　</w:t>
            </w:r>
          </w:p>
        </w:tc>
        <w:tc>
          <w:tcPr>
            <w:tcW w:w="1881" w:type="dxa"/>
            <w:tcBorders>
              <w:top w:val="nil"/>
              <w:left w:val="nil"/>
              <w:bottom w:val="single" w:color="auto" w:sz="4" w:space="0"/>
              <w:right w:val="single" w:color="auto" w:sz="4" w:space="0"/>
            </w:tcBorders>
            <w:noWrap/>
            <w:vAlign w:val="center"/>
          </w:tcPr>
          <w:p>
            <w:pPr>
              <w:widowControl/>
              <w:spacing w:before="100" w:beforeAutospacing="1" w:after="180" w:line="480" w:lineRule="auto"/>
              <w:jc w:val="left"/>
              <w:rPr>
                <w:rFonts w:ascii="宋体" w:hAnsi="宋体" w:eastAsia="宋体" w:cs="宋体"/>
                <w:color w:val="333333"/>
                <w:kern w:val="0"/>
                <w:szCs w:val="21"/>
              </w:rPr>
            </w:pPr>
            <w:r>
              <w:rPr>
                <w:rFonts w:hint="eastAsia" w:ascii="宋体" w:hAnsi="宋体" w:eastAsia="宋体" w:cs="宋体"/>
                <w:color w:val="000000"/>
                <w:kern w:val="0"/>
                <w:sz w:val="20"/>
                <w:szCs w:val="20"/>
              </w:rPr>
              <w:t>　7829</w:t>
            </w:r>
          </w:p>
        </w:tc>
      </w:tr>
      <w:tr>
        <w:tblPrEx>
          <w:tblCellMar>
            <w:top w:w="0" w:type="dxa"/>
            <w:left w:w="108" w:type="dxa"/>
            <w:bottom w:w="0" w:type="dxa"/>
            <w:right w:w="108" w:type="dxa"/>
          </w:tblCellMar>
        </w:tblPrEx>
        <w:trPr>
          <w:trHeight w:val="550" w:hRule="atLeast"/>
        </w:trPr>
        <w:tc>
          <w:tcPr>
            <w:tcW w:w="3113" w:type="dxa"/>
            <w:tcBorders>
              <w:top w:val="nil"/>
              <w:left w:val="single" w:color="auto" w:sz="4" w:space="0"/>
              <w:bottom w:val="single" w:color="auto" w:sz="4" w:space="0"/>
              <w:right w:val="single" w:color="auto" w:sz="4" w:space="0"/>
            </w:tcBorders>
            <w:noWrap/>
            <w:vAlign w:val="center"/>
          </w:tcPr>
          <w:p>
            <w:pPr>
              <w:widowControl/>
              <w:spacing w:before="100" w:beforeAutospacing="1" w:after="180" w:line="480" w:lineRule="auto"/>
              <w:jc w:val="left"/>
              <w:rPr>
                <w:rFonts w:ascii="宋体" w:hAnsi="宋体" w:eastAsia="宋体" w:cs="宋体"/>
                <w:color w:val="333333"/>
                <w:kern w:val="0"/>
                <w:szCs w:val="21"/>
              </w:rPr>
            </w:pPr>
            <w:r>
              <w:rPr>
                <w:rFonts w:hint="eastAsia" w:ascii="宋体" w:hAnsi="宋体" w:eastAsia="宋体" w:cs="宋体"/>
                <w:color w:val="000000"/>
                <w:kern w:val="0"/>
                <w:sz w:val="20"/>
                <w:szCs w:val="20"/>
              </w:rPr>
              <w:t>其他对外管理服务事项</w:t>
            </w:r>
          </w:p>
        </w:tc>
        <w:tc>
          <w:tcPr>
            <w:tcW w:w="1875" w:type="dxa"/>
            <w:tcBorders>
              <w:top w:val="nil"/>
              <w:left w:val="nil"/>
              <w:bottom w:val="single" w:color="auto" w:sz="4" w:space="0"/>
              <w:right w:val="single" w:color="auto" w:sz="4" w:space="0"/>
            </w:tcBorders>
            <w:noWrap/>
            <w:vAlign w:val="center"/>
          </w:tcPr>
          <w:p>
            <w:pPr>
              <w:widowControl/>
              <w:spacing w:before="100" w:beforeAutospacing="1" w:after="180" w:line="480" w:lineRule="auto"/>
              <w:jc w:val="left"/>
              <w:rPr>
                <w:rFonts w:ascii="宋体" w:hAnsi="宋体" w:eastAsia="宋体" w:cs="宋体"/>
                <w:color w:val="333333"/>
                <w:kern w:val="0"/>
                <w:szCs w:val="21"/>
              </w:rPr>
            </w:pPr>
            <w:r>
              <w:rPr>
                <w:rFonts w:hint="eastAsia" w:ascii="宋体" w:hAnsi="宋体" w:eastAsia="宋体" w:cs="宋体"/>
                <w:color w:val="000000"/>
                <w:kern w:val="0"/>
                <w:sz w:val="20"/>
                <w:szCs w:val="20"/>
              </w:rPr>
              <w:t>　0</w:t>
            </w:r>
          </w:p>
        </w:tc>
        <w:tc>
          <w:tcPr>
            <w:tcW w:w="1271" w:type="dxa"/>
            <w:tcBorders>
              <w:top w:val="nil"/>
              <w:left w:val="nil"/>
              <w:bottom w:val="single" w:color="auto" w:sz="4" w:space="0"/>
              <w:right w:val="single" w:color="auto" w:sz="4" w:space="0"/>
            </w:tcBorders>
            <w:noWrap/>
            <w:vAlign w:val="center"/>
          </w:tcPr>
          <w:p>
            <w:pPr>
              <w:widowControl/>
              <w:spacing w:before="100" w:beforeAutospacing="1" w:after="180" w:line="480" w:lineRule="auto"/>
              <w:jc w:val="left"/>
              <w:rPr>
                <w:rFonts w:ascii="宋体" w:hAnsi="宋体" w:eastAsia="宋体" w:cs="宋体"/>
                <w:color w:val="333333"/>
                <w:kern w:val="0"/>
                <w:szCs w:val="21"/>
              </w:rPr>
            </w:pPr>
            <w:r>
              <w:rPr>
                <w:rFonts w:hint="eastAsia" w:ascii="宋体" w:hAnsi="宋体" w:eastAsia="宋体" w:cs="宋体"/>
                <w:color w:val="000000"/>
                <w:kern w:val="0"/>
                <w:sz w:val="20"/>
                <w:szCs w:val="20"/>
              </w:rPr>
              <w:t>　0</w:t>
            </w:r>
          </w:p>
        </w:tc>
        <w:tc>
          <w:tcPr>
            <w:tcW w:w="1881" w:type="dxa"/>
            <w:tcBorders>
              <w:top w:val="nil"/>
              <w:left w:val="nil"/>
              <w:bottom w:val="single" w:color="auto" w:sz="4" w:space="0"/>
              <w:right w:val="single" w:color="auto" w:sz="4" w:space="0"/>
            </w:tcBorders>
            <w:noWrap/>
            <w:vAlign w:val="center"/>
          </w:tcPr>
          <w:p>
            <w:pPr>
              <w:widowControl/>
              <w:spacing w:before="100" w:beforeAutospacing="1" w:after="180" w:line="480" w:lineRule="auto"/>
              <w:jc w:val="left"/>
              <w:rPr>
                <w:rFonts w:ascii="宋体" w:hAnsi="宋体" w:eastAsia="宋体" w:cs="宋体"/>
                <w:color w:val="333333"/>
                <w:kern w:val="0"/>
                <w:szCs w:val="21"/>
              </w:rPr>
            </w:pPr>
            <w:r>
              <w:rPr>
                <w:rFonts w:hint="eastAsia" w:ascii="宋体" w:hAnsi="宋体" w:eastAsia="宋体" w:cs="宋体"/>
                <w:color w:val="000000"/>
                <w:kern w:val="0"/>
                <w:sz w:val="20"/>
                <w:szCs w:val="20"/>
              </w:rPr>
              <w:t>　0</w:t>
            </w:r>
          </w:p>
        </w:tc>
      </w:tr>
      <w:tr>
        <w:tblPrEx>
          <w:tblCellMar>
            <w:top w:w="0" w:type="dxa"/>
            <w:left w:w="108" w:type="dxa"/>
            <w:bottom w:w="0" w:type="dxa"/>
            <w:right w:w="108" w:type="dxa"/>
          </w:tblCellMar>
        </w:tblPrEx>
        <w:trPr>
          <w:trHeight w:val="406" w:hRule="atLeast"/>
        </w:trPr>
        <w:tc>
          <w:tcPr>
            <w:tcW w:w="8140" w:type="dxa"/>
            <w:gridSpan w:val="4"/>
            <w:tcBorders>
              <w:top w:val="single" w:color="auto" w:sz="4" w:space="0"/>
              <w:left w:val="single" w:color="auto" w:sz="4" w:space="0"/>
              <w:bottom w:val="single" w:color="auto" w:sz="4" w:space="0"/>
              <w:right w:val="single" w:color="auto" w:sz="4" w:space="0"/>
            </w:tcBorders>
            <w:shd w:val="clear" w:color="auto" w:fill="C6D9F1"/>
            <w:noWrap/>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宋体" w:hAnsi="宋体" w:eastAsia="宋体" w:cs="宋体"/>
                <w:color w:val="000000"/>
                <w:kern w:val="0"/>
                <w:sz w:val="20"/>
                <w:szCs w:val="20"/>
              </w:rPr>
              <w:t>第二十条第（六）项</w:t>
            </w:r>
          </w:p>
        </w:tc>
      </w:tr>
      <w:tr>
        <w:tblPrEx>
          <w:tblCellMar>
            <w:top w:w="0" w:type="dxa"/>
            <w:left w:w="108" w:type="dxa"/>
            <w:bottom w:w="0" w:type="dxa"/>
            <w:right w:w="108" w:type="dxa"/>
          </w:tblCellMar>
        </w:tblPrEx>
        <w:trPr>
          <w:trHeight w:val="634" w:hRule="atLeast"/>
        </w:trPr>
        <w:tc>
          <w:tcPr>
            <w:tcW w:w="3113" w:type="dxa"/>
            <w:tcBorders>
              <w:top w:val="nil"/>
              <w:left w:val="single" w:color="auto" w:sz="4" w:space="0"/>
              <w:bottom w:val="single" w:color="auto" w:sz="4" w:space="0"/>
              <w:right w:val="single" w:color="auto" w:sz="4" w:space="0"/>
            </w:tcBorders>
            <w:noWrap/>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宋体" w:hAnsi="宋体" w:eastAsia="宋体" w:cs="宋体"/>
                <w:color w:val="000000"/>
                <w:kern w:val="0"/>
                <w:sz w:val="20"/>
                <w:szCs w:val="20"/>
              </w:rPr>
              <w:t>信息内容</w:t>
            </w:r>
          </w:p>
        </w:tc>
        <w:tc>
          <w:tcPr>
            <w:tcW w:w="1875" w:type="dxa"/>
            <w:tcBorders>
              <w:top w:val="single" w:color="auto" w:sz="4" w:space="0"/>
              <w:left w:val="nil"/>
              <w:bottom w:val="single" w:color="auto" w:sz="4" w:space="0"/>
              <w:right w:val="single" w:color="auto" w:sz="4" w:space="0"/>
            </w:tcBorders>
            <w:noWrap/>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宋体" w:hAnsi="宋体" w:eastAsia="宋体" w:cs="宋体"/>
                <w:color w:val="000000"/>
                <w:kern w:val="0"/>
                <w:sz w:val="20"/>
                <w:szCs w:val="20"/>
              </w:rPr>
              <w:t>上一年项目数量</w:t>
            </w:r>
          </w:p>
        </w:tc>
        <w:tc>
          <w:tcPr>
            <w:tcW w:w="127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宋体" w:hAnsi="宋体" w:eastAsia="宋体" w:cs="宋体"/>
                <w:color w:val="000000"/>
                <w:kern w:val="0"/>
                <w:sz w:val="20"/>
                <w:szCs w:val="20"/>
              </w:rPr>
              <w:t>本年增/减</w:t>
            </w:r>
          </w:p>
        </w:tc>
        <w:tc>
          <w:tcPr>
            <w:tcW w:w="1881" w:type="dxa"/>
            <w:tcBorders>
              <w:top w:val="nil"/>
              <w:left w:val="nil"/>
              <w:bottom w:val="single" w:color="auto" w:sz="4" w:space="0"/>
              <w:right w:val="single" w:color="auto" w:sz="4" w:space="0"/>
            </w:tcBorders>
            <w:noWrap/>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宋体" w:hAnsi="宋体" w:eastAsia="宋体" w:cs="宋体"/>
                <w:color w:val="000000"/>
                <w:kern w:val="0"/>
                <w:sz w:val="20"/>
                <w:szCs w:val="20"/>
              </w:rPr>
              <w:t>处理决定数量</w:t>
            </w:r>
          </w:p>
        </w:tc>
      </w:tr>
      <w:tr>
        <w:tblPrEx>
          <w:tblCellMar>
            <w:top w:w="0" w:type="dxa"/>
            <w:left w:w="108" w:type="dxa"/>
            <w:bottom w:w="0" w:type="dxa"/>
            <w:right w:w="108" w:type="dxa"/>
          </w:tblCellMar>
        </w:tblPrEx>
        <w:trPr>
          <w:trHeight w:val="430" w:hRule="atLeast"/>
        </w:trPr>
        <w:tc>
          <w:tcPr>
            <w:tcW w:w="3113" w:type="dxa"/>
            <w:tcBorders>
              <w:top w:val="nil"/>
              <w:left w:val="single" w:color="auto" w:sz="4" w:space="0"/>
              <w:bottom w:val="single" w:color="auto" w:sz="4" w:space="0"/>
              <w:right w:val="single" w:color="auto" w:sz="4" w:space="0"/>
            </w:tcBorders>
            <w:noWrap/>
            <w:vAlign w:val="center"/>
          </w:tcPr>
          <w:p>
            <w:pPr>
              <w:widowControl/>
              <w:spacing w:before="100" w:beforeAutospacing="1" w:after="180" w:line="480" w:lineRule="auto"/>
              <w:jc w:val="left"/>
              <w:rPr>
                <w:rFonts w:ascii="宋体" w:hAnsi="宋体" w:eastAsia="宋体" w:cs="宋体"/>
                <w:color w:val="333333"/>
                <w:kern w:val="0"/>
                <w:szCs w:val="21"/>
              </w:rPr>
            </w:pPr>
            <w:r>
              <w:rPr>
                <w:rFonts w:hint="eastAsia" w:ascii="宋体" w:hAnsi="宋体" w:eastAsia="宋体" w:cs="宋体"/>
                <w:color w:val="000000"/>
                <w:kern w:val="0"/>
                <w:sz w:val="20"/>
                <w:szCs w:val="20"/>
              </w:rPr>
              <w:t>行政处罚</w:t>
            </w:r>
          </w:p>
        </w:tc>
        <w:tc>
          <w:tcPr>
            <w:tcW w:w="1875" w:type="dxa"/>
            <w:tcBorders>
              <w:top w:val="single" w:color="auto" w:sz="4" w:space="0"/>
              <w:left w:val="nil"/>
              <w:bottom w:val="single" w:color="auto" w:sz="4" w:space="0"/>
              <w:right w:val="single" w:color="auto" w:sz="4" w:space="0"/>
            </w:tcBorders>
            <w:noWrap/>
            <w:vAlign w:val="center"/>
          </w:tcPr>
          <w:p>
            <w:pPr>
              <w:widowControl/>
              <w:spacing w:before="100" w:beforeAutospacing="1" w:after="180" w:line="480" w:lineRule="auto"/>
              <w:jc w:val="left"/>
              <w:rPr>
                <w:rFonts w:ascii="宋体" w:hAnsi="宋体" w:eastAsia="宋体" w:cs="宋体"/>
                <w:color w:val="333333"/>
                <w:kern w:val="0"/>
                <w:szCs w:val="21"/>
              </w:rPr>
            </w:pPr>
            <w:r>
              <w:rPr>
                <w:rFonts w:hint="eastAsia" w:ascii="宋体" w:hAnsi="宋体" w:eastAsia="宋体" w:cs="宋体"/>
                <w:color w:val="000000"/>
                <w:kern w:val="0"/>
                <w:sz w:val="20"/>
                <w:szCs w:val="20"/>
              </w:rPr>
              <w:t>　47</w:t>
            </w:r>
          </w:p>
        </w:tc>
        <w:tc>
          <w:tcPr>
            <w:tcW w:w="1271" w:type="dxa"/>
            <w:tcBorders>
              <w:top w:val="single" w:color="auto" w:sz="4" w:space="0"/>
              <w:left w:val="nil"/>
              <w:bottom w:val="single" w:color="auto" w:sz="4" w:space="0"/>
              <w:right w:val="single" w:color="auto" w:sz="4" w:space="0"/>
            </w:tcBorders>
            <w:noWrap/>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宋体" w:hAnsi="宋体" w:eastAsia="宋体" w:cs="宋体"/>
                <w:color w:val="000000"/>
                <w:kern w:val="0"/>
                <w:sz w:val="20"/>
                <w:szCs w:val="20"/>
              </w:rPr>
              <w:t>增1</w:t>
            </w:r>
          </w:p>
        </w:tc>
        <w:tc>
          <w:tcPr>
            <w:tcW w:w="1881" w:type="dxa"/>
            <w:tcBorders>
              <w:top w:val="nil"/>
              <w:left w:val="nil"/>
              <w:bottom w:val="single" w:color="auto" w:sz="4" w:space="0"/>
              <w:right w:val="single" w:color="auto" w:sz="4" w:space="0"/>
            </w:tcBorders>
            <w:noWrap/>
            <w:vAlign w:val="center"/>
          </w:tcPr>
          <w:p>
            <w:pPr>
              <w:widowControl/>
              <w:spacing w:before="100" w:beforeAutospacing="1" w:after="180" w:line="480" w:lineRule="auto"/>
              <w:jc w:val="left"/>
              <w:rPr>
                <w:rFonts w:ascii="宋体" w:hAnsi="宋体" w:eastAsia="宋体" w:cs="宋体"/>
                <w:color w:val="333333"/>
                <w:kern w:val="0"/>
                <w:szCs w:val="21"/>
              </w:rPr>
            </w:pPr>
            <w:r>
              <w:rPr>
                <w:rFonts w:hint="eastAsia" w:ascii="宋体" w:hAnsi="宋体" w:eastAsia="宋体" w:cs="宋体"/>
                <w:color w:val="000000"/>
                <w:kern w:val="0"/>
                <w:sz w:val="20"/>
                <w:szCs w:val="20"/>
              </w:rPr>
              <w:t>　   48</w:t>
            </w:r>
          </w:p>
        </w:tc>
      </w:tr>
      <w:tr>
        <w:tblPrEx>
          <w:tblCellMar>
            <w:top w:w="0" w:type="dxa"/>
            <w:left w:w="108" w:type="dxa"/>
            <w:bottom w:w="0" w:type="dxa"/>
            <w:right w:w="108" w:type="dxa"/>
          </w:tblCellMar>
        </w:tblPrEx>
        <w:trPr>
          <w:trHeight w:val="409" w:hRule="atLeast"/>
        </w:trPr>
        <w:tc>
          <w:tcPr>
            <w:tcW w:w="3113" w:type="dxa"/>
            <w:tcBorders>
              <w:top w:val="nil"/>
              <w:left w:val="single" w:color="auto" w:sz="4" w:space="0"/>
              <w:bottom w:val="single" w:color="auto" w:sz="4" w:space="0"/>
              <w:right w:val="single" w:color="auto" w:sz="4" w:space="0"/>
            </w:tcBorders>
            <w:noWrap/>
            <w:vAlign w:val="center"/>
          </w:tcPr>
          <w:p>
            <w:pPr>
              <w:widowControl/>
              <w:spacing w:before="100" w:beforeAutospacing="1" w:after="180" w:line="480" w:lineRule="auto"/>
              <w:jc w:val="left"/>
              <w:rPr>
                <w:rFonts w:ascii="宋体" w:hAnsi="宋体" w:eastAsia="宋体" w:cs="宋体"/>
                <w:color w:val="333333"/>
                <w:kern w:val="0"/>
                <w:szCs w:val="21"/>
              </w:rPr>
            </w:pPr>
            <w:r>
              <w:rPr>
                <w:rFonts w:hint="eastAsia" w:ascii="宋体" w:hAnsi="宋体" w:eastAsia="宋体" w:cs="宋体"/>
                <w:color w:val="000000"/>
                <w:kern w:val="0"/>
                <w:sz w:val="20"/>
                <w:szCs w:val="20"/>
              </w:rPr>
              <w:t>行政强制</w:t>
            </w:r>
          </w:p>
        </w:tc>
        <w:tc>
          <w:tcPr>
            <w:tcW w:w="1875" w:type="dxa"/>
            <w:tcBorders>
              <w:top w:val="nil"/>
              <w:left w:val="nil"/>
              <w:bottom w:val="single" w:color="auto" w:sz="4" w:space="0"/>
              <w:right w:val="single" w:color="auto" w:sz="4" w:space="0"/>
            </w:tcBorders>
            <w:noWrap/>
            <w:vAlign w:val="center"/>
          </w:tcPr>
          <w:p>
            <w:pPr>
              <w:widowControl/>
              <w:spacing w:before="100" w:beforeAutospacing="1" w:after="180" w:line="480" w:lineRule="auto"/>
              <w:jc w:val="left"/>
              <w:rPr>
                <w:rFonts w:ascii="宋体" w:hAnsi="宋体" w:eastAsia="宋体" w:cs="宋体"/>
                <w:color w:val="333333"/>
                <w:kern w:val="0"/>
                <w:szCs w:val="21"/>
              </w:rPr>
            </w:pPr>
            <w:r>
              <w:rPr>
                <w:rFonts w:hint="eastAsia" w:ascii="宋体" w:hAnsi="宋体" w:eastAsia="宋体" w:cs="宋体"/>
                <w:color w:val="000000"/>
                <w:kern w:val="0"/>
                <w:sz w:val="20"/>
                <w:szCs w:val="20"/>
              </w:rPr>
              <w:t>　0</w:t>
            </w:r>
          </w:p>
        </w:tc>
        <w:tc>
          <w:tcPr>
            <w:tcW w:w="1271" w:type="dxa"/>
            <w:tcBorders>
              <w:top w:val="nil"/>
              <w:left w:val="nil"/>
              <w:bottom w:val="single" w:color="auto" w:sz="4" w:space="0"/>
              <w:right w:val="single" w:color="auto" w:sz="4" w:space="0"/>
            </w:tcBorders>
            <w:noWrap/>
            <w:vAlign w:val="center"/>
          </w:tcPr>
          <w:p>
            <w:pPr>
              <w:widowControl/>
              <w:spacing w:before="100" w:beforeAutospacing="1" w:after="180" w:line="480" w:lineRule="auto"/>
              <w:jc w:val="left"/>
              <w:rPr>
                <w:rFonts w:ascii="宋体" w:hAnsi="宋体" w:eastAsia="宋体" w:cs="宋体"/>
                <w:color w:val="333333"/>
                <w:kern w:val="0"/>
                <w:szCs w:val="21"/>
              </w:rPr>
            </w:pPr>
            <w:r>
              <w:rPr>
                <w:rFonts w:hint="eastAsia" w:ascii="宋体" w:hAnsi="宋体" w:eastAsia="宋体" w:cs="宋体"/>
                <w:color w:val="000000"/>
                <w:kern w:val="0"/>
                <w:sz w:val="20"/>
                <w:szCs w:val="20"/>
              </w:rPr>
              <w:t>　0</w:t>
            </w:r>
          </w:p>
        </w:tc>
        <w:tc>
          <w:tcPr>
            <w:tcW w:w="1881" w:type="dxa"/>
            <w:tcBorders>
              <w:top w:val="nil"/>
              <w:left w:val="nil"/>
              <w:bottom w:val="single" w:color="auto" w:sz="4" w:space="0"/>
              <w:right w:val="single" w:color="auto" w:sz="4" w:space="0"/>
            </w:tcBorders>
            <w:noWrap/>
            <w:vAlign w:val="center"/>
          </w:tcPr>
          <w:p>
            <w:pPr>
              <w:widowControl/>
              <w:spacing w:before="100" w:beforeAutospacing="1" w:after="180" w:line="480" w:lineRule="auto"/>
              <w:jc w:val="left"/>
              <w:rPr>
                <w:rFonts w:ascii="宋体" w:hAnsi="宋体" w:eastAsia="宋体" w:cs="宋体"/>
                <w:color w:val="333333"/>
                <w:kern w:val="0"/>
                <w:szCs w:val="21"/>
              </w:rPr>
            </w:pPr>
            <w:r>
              <w:rPr>
                <w:rFonts w:hint="eastAsia" w:ascii="宋体" w:hAnsi="宋体" w:eastAsia="宋体" w:cs="宋体"/>
                <w:color w:val="000000"/>
                <w:kern w:val="0"/>
                <w:sz w:val="20"/>
                <w:szCs w:val="20"/>
              </w:rPr>
              <w:t>　0</w:t>
            </w:r>
          </w:p>
        </w:tc>
      </w:tr>
      <w:tr>
        <w:tblPrEx>
          <w:tblCellMar>
            <w:top w:w="0" w:type="dxa"/>
            <w:left w:w="108" w:type="dxa"/>
            <w:bottom w:w="0" w:type="dxa"/>
            <w:right w:w="108" w:type="dxa"/>
          </w:tblCellMar>
        </w:tblPrEx>
        <w:trPr>
          <w:trHeight w:val="474" w:hRule="atLeast"/>
        </w:trPr>
        <w:tc>
          <w:tcPr>
            <w:tcW w:w="8140" w:type="dxa"/>
            <w:gridSpan w:val="4"/>
            <w:tcBorders>
              <w:top w:val="single" w:color="auto" w:sz="4" w:space="0"/>
              <w:left w:val="single" w:color="auto" w:sz="4" w:space="0"/>
              <w:bottom w:val="single" w:color="auto" w:sz="4" w:space="0"/>
              <w:right w:val="single" w:color="auto" w:sz="4" w:space="0"/>
            </w:tcBorders>
            <w:shd w:val="clear" w:color="auto" w:fill="C6D9F1"/>
            <w:noWrap/>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宋体" w:hAnsi="宋体" w:eastAsia="宋体" w:cs="宋体"/>
                <w:color w:val="000000"/>
                <w:kern w:val="0"/>
                <w:sz w:val="20"/>
                <w:szCs w:val="20"/>
              </w:rPr>
              <w:t>第二十条第（八）项</w:t>
            </w:r>
          </w:p>
        </w:tc>
      </w:tr>
      <w:tr>
        <w:tblPrEx>
          <w:tblCellMar>
            <w:top w:w="0" w:type="dxa"/>
            <w:left w:w="108" w:type="dxa"/>
            <w:bottom w:w="0" w:type="dxa"/>
            <w:right w:w="108" w:type="dxa"/>
          </w:tblCellMar>
        </w:tblPrEx>
        <w:trPr>
          <w:trHeight w:val="270" w:hRule="atLeast"/>
        </w:trPr>
        <w:tc>
          <w:tcPr>
            <w:tcW w:w="3113" w:type="dxa"/>
            <w:tcBorders>
              <w:top w:val="nil"/>
              <w:left w:val="single" w:color="auto" w:sz="4" w:space="0"/>
              <w:bottom w:val="single" w:color="auto" w:sz="4" w:space="0"/>
              <w:right w:val="single" w:color="auto" w:sz="4" w:space="0"/>
            </w:tcBorders>
            <w:noWrap/>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宋体" w:hAnsi="宋体" w:eastAsia="宋体" w:cs="宋体"/>
                <w:color w:val="000000"/>
                <w:kern w:val="0"/>
                <w:sz w:val="20"/>
                <w:szCs w:val="20"/>
              </w:rPr>
              <w:t>信息内容</w:t>
            </w:r>
          </w:p>
        </w:tc>
        <w:tc>
          <w:tcPr>
            <w:tcW w:w="1875" w:type="dxa"/>
            <w:tcBorders>
              <w:top w:val="nil"/>
              <w:left w:val="nil"/>
              <w:bottom w:val="single" w:color="auto" w:sz="4" w:space="0"/>
              <w:right w:val="single" w:color="auto" w:sz="4" w:space="0"/>
            </w:tcBorders>
            <w:noWrap/>
            <w:vAlign w:val="center"/>
          </w:tcPr>
          <w:p>
            <w:pPr>
              <w:widowControl/>
              <w:spacing w:before="100" w:beforeAutospacing="1" w:after="180" w:line="480" w:lineRule="auto"/>
              <w:jc w:val="left"/>
              <w:rPr>
                <w:rFonts w:ascii="宋体" w:hAnsi="宋体" w:eastAsia="宋体" w:cs="宋体"/>
                <w:color w:val="333333"/>
                <w:kern w:val="0"/>
                <w:szCs w:val="21"/>
              </w:rPr>
            </w:pPr>
            <w:r>
              <w:rPr>
                <w:rFonts w:hint="eastAsia" w:ascii="宋体" w:hAnsi="宋体" w:eastAsia="宋体" w:cs="宋体"/>
                <w:color w:val="000000"/>
                <w:kern w:val="0"/>
                <w:sz w:val="20"/>
                <w:szCs w:val="20"/>
              </w:rPr>
              <w:t>上一年项目数量</w:t>
            </w:r>
          </w:p>
        </w:tc>
        <w:tc>
          <w:tcPr>
            <w:tcW w:w="3152" w:type="dxa"/>
            <w:gridSpan w:val="2"/>
            <w:tcBorders>
              <w:top w:val="single" w:color="auto" w:sz="4" w:space="0"/>
              <w:left w:val="nil"/>
              <w:bottom w:val="single" w:color="auto" w:sz="4" w:space="0"/>
              <w:right w:val="single" w:color="000000" w:sz="4" w:space="0"/>
            </w:tcBorders>
            <w:noWrap/>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宋体" w:hAnsi="宋体" w:eastAsia="宋体" w:cs="宋体"/>
                <w:color w:val="000000"/>
                <w:kern w:val="0"/>
                <w:sz w:val="20"/>
                <w:szCs w:val="20"/>
              </w:rPr>
              <w:t>本年增/减</w:t>
            </w:r>
          </w:p>
        </w:tc>
      </w:tr>
      <w:tr>
        <w:tblPrEx>
          <w:tblCellMar>
            <w:top w:w="0" w:type="dxa"/>
            <w:left w:w="108" w:type="dxa"/>
            <w:bottom w:w="0" w:type="dxa"/>
            <w:right w:w="108" w:type="dxa"/>
          </w:tblCellMar>
        </w:tblPrEx>
        <w:trPr>
          <w:trHeight w:val="551" w:hRule="atLeast"/>
        </w:trPr>
        <w:tc>
          <w:tcPr>
            <w:tcW w:w="3113" w:type="dxa"/>
            <w:tcBorders>
              <w:top w:val="nil"/>
              <w:left w:val="single" w:color="auto" w:sz="4" w:space="0"/>
              <w:bottom w:val="single" w:color="auto" w:sz="4" w:space="0"/>
              <w:right w:val="single" w:color="auto" w:sz="4" w:space="0"/>
            </w:tcBorders>
            <w:noWrap/>
            <w:vAlign w:val="center"/>
          </w:tcPr>
          <w:p>
            <w:pPr>
              <w:widowControl/>
              <w:spacing w:before="100" w:beforeAutospacing="1" w:after="180" w:line="480" w:lineRule="auto"/>
              <w:jc w:val="left"/>
              <w:rPr>
                <w:rFonts w:ascii="宋体" w:hAnsi="宋体" w:eastAsia="宋体" w:cs="宋体"/>
                <w:color w:val="333333"/>
                <w:kern w:val="0"/>
                <w:szCs w:val="21"/>
              </w:rPr>
            </w:pPr>
            <w:r>
              <w:rPr>
                <w:rFonts w:hint="eastAsia" w:ascii="宋体" w:hAnsi="宋体" w:eastAsia="宋体" w:cs="宋体"/>
                <w:color w:val="000000"/>
                <w:kern w:val="0"/>
                <w:sz w:val="20"/>
                <w:szCs w:val="20"/>
              </w:rPr>
              <w:t>行政事业性收费</w:t>
            </w:r>
          </w:p>
        </w:tc>
        <w:tc>
          <w:tcPr>
            <w:tcW w:w="1875" w:type="dxa"/>
            <w:tcBorders>
              <w:top w:val="nil"/>
              <w:left w:val="nil"/>
              <w:bottom w:val="single" w:color="auto" w:sz="4" w:space="0"/>
              <w:right w:val="single" w:color="auto" w:sz="4" w:space="0"/>
            </w:tcBorders>
            <w:noWrap/>
            <w:vAlign w:val="center"/>
          </w:tcPr>
          <w:p>
            <w:pPr>
              <w:widowControl/>
              <w:spacing w:before="100" w:beforeAutospacing="1" w:after="180" w:line="480" w:lineRule="auto"/>
              <w:jc w:val="left"/>
              <w:rPr>
                <w:rFonts w:ascii="宋体" w:hAnsi="宋体" w:eastAsia="宋体" w:cs="宋体"/>
                <w:color w:val="333333"/>
                <w:kern w:val="0"/>
                <w:szCs w:val="21"/>
              </w:rPr>
            </w:pPr>
            <w:r>
              <w:rPr>
                <w:rFonts w:hint="eastAsia" w:ascii="宋体" w:hAnsi="宋体" w:eastAsia="宋体" w:cs="宋体"/>
                <w:color w:val="000000"/>
                <w:kern w:val="0"/>
                <w:sz w:val="20"/>
                <w:szCs w:val="20"/>
              </w:rPr>
              <w:t>　0</w:t>
            </w:r>
          </w:p>
        </w:tc>
        <w:tc>
          <w:tcPr>
            <w:tcW w:w="3152" w:type="dxa"/>
            <w:gridSpan w:val="2"/>
            <w:tcBorders>
              <w:top w:val="single" w:color="auto" w:sz="4" w:space="0"/>
              <w:left w:val="nil"/>
              <w:bottom w:val="single" w:color="auto" w:sz="4" w:space="0"/>
              <w:right w:val="single" w:color="000000" w:sz="4" w:space="0"/>
            </w:tcBorders>
            <w:noWrap/>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宋体" w:hAnsi="Calibri" w:eastAsia="宋体" w:cs="Times New Roman"/>
                <w:color w:val="000000"/>
                <w:kern w:val="0"/>
                <w:sz w:val="20"/>
                <w:szCs w:val="20"/>
              </w:rPr>
              <w:t>0 </w:t>
            </w:r>
          </w:p>
        </w:tc>
      </w:tr>
      <w:tr>
        <w:tblPrEx>
          <w:tblCellMar>
            <w:top w:w="0" w:type="dxa"/>
            <w:left w:w="108" w:type="dxa"/>
            <w:bottom w:w="0" w:type="dxa"/>
            <w:right w:w="108" w:type="dxa"/>
          </w:tblCellMar>
        </w:tblPrEx>
        <w:trPr>
          <w:trHeight w:val="476" w:hRule="atLeast"/>
        </w:trPr>
        <w:tc>
          <w:tcPr>
            <w:tcW w:w="8140" w:type="dxa"/>
            <w:gridSpan w:val="4"/>
            <w:tcBorders>
              <w:top w:val="single" w:color="auto" w:sz="4" w:space="0"/>
              <w:left w:val="single" w:color="auto" w:sz="4" w:space="0"/>
              <w:bottom w:val="single" w:color="auto" w:sz="4" w:space="0"/>
              <w:right w:val="single" w:color="auto" w:sz="4" w:space="0"/>
            </w:tcBorders>
            <w:shd w:val="clear" w:color="auto" w:fill="C6D9F1"/>
            <w:noWrap/>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宋体" w:hAnsi="宋体" w:eastAsia="宋体" w:cs="宋体"/>
                <w:color w:val="000000"/>
                <w:kern w:val="0"/>
                <w:sz w:val="20"/>
                <w:szCs w:val="20"/>
              </w:rPr>
              <w:t>第二十条第（九）项</w:t>
            </w:r>
          </w:p>
        </w:tc>
      </w:tr>
      <w:tr>
        <w:tblPrEx>
          <w:tblCellMar>
            <w:top w:w="0" w:type="dxa"/>
            <w:left w:w="108" w:type="dxa"/>
            <w:bottom w:w="0" w:type="dxa"/>
            <w:right w:w="108" w:type="dxa"/>
          </w:tblCellMar>
        </w:tblPrEx>
        <w:trPr>
          <w:trHeight w:val="585" w:hRule="atLeast"/>
        </w:trPr>
        <w:tc>
          <w:tcPr>
            <w:tcW w:w="3113" w:type="dxa"/>
            <w:tcBorders>
              <w:top w:val="nil"/>
              <w:left w:val="single" w:color="auto" w:sz="4" w:space="0"/>
              <w:bottom w:val="single" w:color="auto" w:sz="4" w:space="0"/>
              <w:right w:val="single" w:color="auto" w:sz="4" w:space="0"/>
            </w:tcBorders>
            <w:noWrap/>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宋体" w:hAnsi="宋体" w:eastAsia="宋体" w:cs="宋体"/>
                <w:color w:val="000000"/>
                <w:kern w:val="0"/>
                <w:sz w:val="20"/>
                <w:szCs w:val="20"/>
              </w:rPr>
              <w:t>信息内容</w:t>
            </w:r>
          </w:p>
        </w:tc>
        <w:tc>
          <w:tcPr>
            <w:tcW w:w="1875" w:type="dxa"/>
            <w:tcBorders>
              <w:top w:val="nil"/>
              <w:left w:val="nil"/>
              <w:bottom w:val="single" w:color="auto" w:sz="4" w:space="0"/>
              <w:right w:val="single" w:color="auto" w:sz="4" w:space="0"/>
            </w:tcBorders>
            <w:noWrap/>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宋体" w:hAnsi="宋体" w:eastAsia="宋体" w:cs="宋体"/>
                <w:color w:val="000000"/>
                <w:kern w:val="0"/>
                <w:sz w:val="20"/>
                <w:szCs w:val="20"/>
              </w:rPr>
              <w:t>采购项目数量</w:t>
            </w:r>
          </w:p>
        </w:tc>
        <w:tc>
          <w:tcPr>
            <w:tcW w:w="3152" w:type="dxa"/>
            <w:gridSpan w:val="2"/>
            <w:tcBorders>
              <w:top w:val="single" w:color="auto" w:sz="4" w:space="0"/>
              <w:left w:val="nil"/>
              <w:bottom w:val="single" w:color="auto" w:sz="4" w:space="0"/>
              <w:right w:val="single" w:color="000000" w:sz="4" w:space="0"/>
            </w:tcBorders>
            <w:noWrap/>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宋体" w:hAnsi="宋体" w:eastAsia="宋体" w:cs="宋体"/>
                <w:color w:val="000000"/>
                <w:kern w:val="0"/>
                <w:sz w:val="20"/>
                <w:szCs w:val="20"/>
              </w:rPr>
              <w:t>采购总金额</w:t>
            </w:r>
          </w:p>
        </w:tc>
      </w:tr>
      <w:tr>
        <w:tblPrEx>
          <w:tblCellMar>
            <w:top w:w="0" w:type="dxa"/>
            <w:left w:w="108" w:type="dxa"/>
            <w:bottom w:w="0" w:type="dxa"/>
            <w:right w:w="108" w:type="dxa"/>
          </w:tblCellMar>
        </w:tblPrEx>
        <w:trPr>
          <w:trHeight w:val="539" w:hRule="atLeast"/>
        </w:trPr>
        <w:tc>
          <w:tcPr>
            <w:tcW w:w="3113" w:type="dxa"/>
            <w:tcBorders>
              <w:top w:val="nil"/>
              <w:left w:val="single" w:color="auto" w:sz="4" w:space="0"/>
              <w:bottom w:val="single" w:color="auto" w:sz="4" w:space="0"/>
              <w:right w:val="single" w:color="auto" w:sz="4" w:space="0"/>
            </w:tcBorders>
            <w:noWrap/>
            <w:vAlign w:val="center"/>
          </w:tcPr>
          <w:p>
            <w:pPr>
              <w:widowControl/>
              <w:spacing w:before="100" w:beforeAutospacing="1" w:after="180" w:line="480" w:lineRule="auto"/>
              <w:jc w:val="left"/>
              <w:rPr>
                <w:rFonts w:ascii="宋体" w:hAnsi="宋体" w:eastAsia="宋体" w:cs="宋体"/>
                <w:color w:val="333333"/>
                <w:kern w:val="0"/>
                <w:szCs w:val="21"/>
              </w:rPr>
            </w:pPr>
            <w:r>
              <w:rPr>
                <w:rFonts w:hint="eastAsia" w:ascii="宋体" w:hAnsi="宋体" w:eastAsia="宋体" w:cs="宋体"/>
                <w:color w:val="000000"/>
                <w:kern w:val="0"/>
                <w:sz w:val="20"/>
                <w:szCs w:val="20"/>
              </w:rPr>
              <w:t>政府集中采购</w:t>
            </w:r>
          </w:p>
        </w:tc>
        <w:tc>
          <w:tcPr>
            <w:tcW w:w="1875" w:type="dxa"/>
            <w:tcBorders>
              <w:top w:val="nil"/>
              <w:left w:val="nil"/>
              <w:bottom w:val="single" w:color="auto" w:sz="4" w:space="0"/>
              <w:right w:val="single" w:color="auto" w:sz="4" w:space="0"/>
            </w:tcBorders>
            <w:noWrap/>
            <w:vAlign w:val="center"/>
          </w:tcPr>
          <w:p>
            <w:pPr>
              <w:widowControl/>
              <w:spacing w:before="100" w:beforeAutospacing="1" w:after="180" w:line="480" w:lineRule="auto"/>
              <w:jc w:val="left"/>
              <w:rPr>
                <w:rFonts w:ascii="宋体" w:hAnsi="宋体" w:eastAsia="宋体" w:cs="宋体"/>
                <w:color w:val="333333"/>
                <w:kern w:val="0"/>
                <w:szCs w:val="21"/>
              </w:rPr>
            </w:pPr>
            <w:r>
              <w:rPr>
                <w:rFonts w:hint="eastAsia" w:ascii="宋体" w:hAnsi="宋体" w:eastAsia="宋体" w:cs="宋体"/>
                <w:color w:val="000000"/>
                <w:kern w:val="0"/>
                <w:sz w:val="20"/>
                <w:szCs w:val="20"/>
              </w:rPr>
              <w:t>　0</w:t>
            </w:r>
          </w:p>
        </w:tc>
        <w:tc>
          <w:tcPr>
            <w:tcW w:w="3152" w:type="dxa"/>
            <w:gridSpan w:val="2"/>
            <w:tcBorders>
              <w:top w:val="single" w:color="auto" w:sz="4" w:space="0"/>
              <w:left w:val="nil"/>
              <w:bottom w:val="single" w:color="auto" w:sz="4" w:space="0"/>
              <w:right w:val="single" w:color="000000" w:sz="4" w:space="0"/>
            </w:tcBorders>
            <w:noWrap/>
            <w:vAlign w:val="center"/>
          </w:tcPr>
          <w:p>
            <w:pPr>
              <w:widowControl/>
              <w:spacing w:before="100" w:beforeAutospacing="1" w:after="180" w:line="480" w:lineRule="auto"/>
              <w:jc w:val="left"/>
              <w:rPr>
                <w:rFonts w:ascii="宋体" w:hAnsi="宋体" w:eastAsia="宋体" w:cs="宋体"/>
                <w:color w:val="333333"/>
                <w:kern w:val="0"/>
                <w:szCs w:val="21"/>
              </w:rPr>
            </w:pPr>
            <w:r>
              <w:rPr>
                <w:rFonts w:hint="eastAsia" w:ascii="宋体" w:hAnsi="宋体" w:eastAsia="宋体" w:cs="宋体"/>
                <w:color w:val="333333"/>
                <w:kern w:val="0"/>
                <w:szCs w:val="21"/>
              </w:rPr>
              <w:t>0</w:t>
            </w:r>
          </w:p>
        </w:tc>
      </w:tr>
    </w:tbl>
    <w:p>
      <w:pPr>
        <w:ind w:firstLine="640" w:firstLineChars="200"/>
        <w:rPr>
          <w:rFonts w:ascii="黑体" w:hAnsi="黑体" w:eastAsia="黑体" w:cs="Times New Roman"/>
          <w:bCs/>
          <w:color w:val="333333"/>
          <w:kern w:val="0"/>
          <w:sz w:val="32"/>
          <w:szCs w:val="32"/>
        </w:rPr>
      </w:pPr>
      <w:r>
        <w:rPr>
          <w:rFonts w:ascii="黑体" w:hAnsi="黑体" w:eastAsia="黑体" w:cs="Times New Roman"/>
          <w:bCs/>
          <w:color w:val="333333"/>
          <w:kern w:val="0"/>
          <w:sz w:val="32"/>
          <w:szCs w:val="32"/>
        </w:rPr>
        <w:t>三、收到和处理政府信息公开申请情况</w:t>
      </w:r>
    </w:p>
    <w:tbl>
      <w:tblPr>
        <w:tblStyle w:val="5"/>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4"/>
        <w:gridCol w:w="855"/>
        <w:gridCol w:w="2130"/>
        <w:gridCol w:w="825"/>
        <w:gridCol w:w="765"/>
        <w:gridCol w:w="765"/>
        <w:gridCol w:w="825"/>
        <w:gridCol w:w="990"/>
        <w:gridCol w:w="720"/>
        <w:gridCol w:w="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（本列数据的勾稽关系为：第一项加第二项之和，等于第三项加第四项之和）</w:t>
            </w:r>
          </w:p>
        </w:tc>
        <w:tc>
          <w:tcPr>
            <w:tcW w:w="5592" w:type="dxa"/>
            <w:gridSpan w:val="7"/>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eastAsia="宋体" w:cs="宋体"/>
                <w:color w:val="333333"/>
                <w:kern w:val="0"/>
                <w:szCs w:val="21"/>
              </w:rPr>
            </w:pPr>
          </w:p>
        </w:tc>
        <w:tc>
          <w:tcPr>
            <w:tcW w:w="825" w:type="dxa"/>
            <w:vMerge w:val="restart"/>
            <w:tcBorders>
              <w:top w:val="nil"/>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自然人</w:t>
            </w:r>
          </w:p>
        </w:tc>
        <w:tc>
          <w:tcPr>
            <w:tcW w:w="4065" w:type="dxa"/>
            <w:gridSpan w:val="5"/>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法人或其他组织</w:t>
            </w:r>
          </w:p>
        </w:tc>
        <w:tc>
          <w:tcPr>
            <w:tcW w:w="702" w:type="dxa"/>
            <w:vMerge w:val="restart"/>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eastAsia="宋体" w:cs="宋体"/>
                <w:color w:val="333333"/>
                <w:kern w:val="0"/>
                <w:szCs w:val="21"/>
              </w:rPr>
            </w:pPr>
          </w:p>
        </w:tc>
        <w:tc>
          <w:tcPr>
            <w:tcW w:w="825" w:type="dxa"/>
            <w:vMerge w:val="continue"/>
            <w:tcBorders>
              <w:top w:val="nil"/>
              <w:left w:val="nil"/>
              <w:bottom w:val="single" w:color="auto" w:sz="4" w:space="0"/>
              <w:right w:val="single" w:color="auto" w:sz="4" w:space="0"/>
            </w:tcBorders>
            <w:vAlign w:val="center"/>
          </w:tcPr>
          <w:p>
            <w:pPr>
              <w:widowControl/>
              <w:spacing w:line="480" w:lineRule="auto"/>
              <w:jc w:val="left"/>
              <w:rPr>
                <w:rFonts w:ascii="宋体" w:hAnsi="宋体" w:eastAsia="宋体" w:cs="宋体"/>
                <w:color w:val="333333"/>
                <w:kern w:val="0"/>
                <w:szCs w:val="21"/>
              </w:rPr>
            </w:pP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商业企业</w:t>
            </w: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科研机构</w:t>
            </w:r>
          </w:p>
        </w:tc>
        <w:tc>
          <w:tcPr>
            <w:tcW w:w="82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社会公益组织</w:t>
            </w:r>
          </w:p>
        </w:tc>
        <w:tc>
          <w:tcPr>
            <w:tcW w:w="99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法律服务机构</w:t>
            </w:r>
          </w:p>
        </w:tc>
        <w:tc>
          <w:tcPr>
            <w:tcW w:w="72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其他</w:t>
            </w:r>
          </w:p>
        </w:tc>
        <w:tc>
          <w:tcPr>
            <w:tcW w:w="702" w:type="dxa"/>
            <w:vMerge w:val="continue"/>
            <w:tcBorders>
              <w:top w:val="single" w:color="auto" w:sz="4" w:space="0"/>
              <w:left w:val="nil"/>
              <w:bottom w:val="single" w:color="auto" w:sz="4" w:space="0"/>
              <w:right w:val="single" w:color="auto" w:sz="4" w:space="0"/>
            </w:tcBorders>
            <w:vAlign w:val="center"/>
          </w:tcPr>
          <w:p>
            <w:pPr>
              <w:widowControl/>
              <w:spacing w:line="480" w:lineRule="auto"/>
              <w:jc w:val="left"/>
              <w:rPr>
                <w:rFonts w:ascii="宋体" w:hAnsi="宋体" w:eastAsia="宋体" w:cs="宋体"/>
                <w:color w:val="333333"/>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gridSpan w:val="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80" w:line="480" w:lineRule="auto"/>
              <w:jc w:val="left"/>
              <w:rPr>
                <w:rFonts w:ascii="宋体" w:hAnsi="宋体" w:eastAsia="宋体" w:cs="宋体"/>
                <w:color w:val="333333"/>
                <w:kern w:val="0"/>
                <w:szCs w:val="21"/>
              </w:rPr>
            </w:pPr>
            <w:r>
              <w:rPr>
                <w:rFonts w:hint="eastAsia" w:ascii="Calibri" w:hAnsi="Calibri" w:eastAsia="宋体" w:cs="Times New Roman"/>
                <w:color w:val="333333"/>
                <w:sz w:val="20"/>
                <w:szCs w:val="20"/>
              </w:rPr>
              <w:t>一、本年新收政府信息公开申请数量</w:t>
            </w:r>
          </w:p>
        </w:tc>
        <w:tc>
          <w:tcPr>
            <w:tcW w:w="82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rPr>
              <w:t>0</w:t>
            </w: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82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99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2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gridSpan w:val="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80" w:line="480" w:lineRule="auto"/>
              <w:jc w:val="left"/>
              <w:rPr>
                <w:rFonts w:ascii="宋体" w:hAnsi="宋体" w:eastAsia="宋体" w:cs="宋体"/>
                <w:color w:val="333333"/>
                <w:kern w:val="0"/>
                <w:szCs w:val="21"/>
              </w:rPr>
            </w:pPr>
            <w:r>
              <w:rPr>
                <w:rFonts w:hint="eastAsia" w:ascii="Calibri" w:hAnsi="Calibri" w:eastAsia="宋体" w:cs="Times New Roman"/>
                <w:color w:val="333333"/>
                <w:sz w:val="20"/>
                <w:szCs w:val="20"/>
              </w:rPr>
              <w:t>二、上年结转政府信息公开申请数量</w:t>
            </w:r>
          </w:p>
        </w:tc>
        <w:tc>
          <w:tcPr>
            <w:tcW w:w="82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rPr>
              <w:t>0</w:t>
            </w: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82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99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2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restart"/>
            <w:tcBorders>
              <w:top w:val="nil"/>
              <w:left w:val="single" w:color="auto" w:sz="4" w:space="0"/>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三、本年度办理结果</w:t>
            </w:r>
          </w:p>
        </w:tc>
        <w:tc>
          <w:tcPr>
            <w:tcW w:w="2985" w:type="dxa"/>
            <w:gridSpan w:val="2"/>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ascii="宋体" w:hAnsi="宋体" w:eastAsia="宋体" w:cs="宋体"/>
                <w:color w:val="333333"/>
                <w:kern w:val="0"/>
                <w:szCs w:val="21"/>
              </w:rPr>
            </w:pPr>
            <w:r>
              <w:rPr>
                <w:rFonts w:hint="eastAsia" w:ascii="楷体" w:hAnsi="楷体" w:eastAsia="楷体" w:cs="宋体"/>
                <w:color w:val="333333"/>
                <w:sz w:val="20"/>
                <w:szCs w:val="20"/>
              </w:rPr>
              <w:t>（一）予以公开</w:t>
            </w:r>
          </w:p>
        </w:tc>
        <w:tc>
          <w:tcPr>
            <w:tcW w:w="82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rPr>
              <w:t>0</w:t>
            </w: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82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99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2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ascii="宋体" w:hAnsi="宋体" w:eastAsia="宋体" w:cs="宋体"/>
                <w:color w:val="333333"/>
                <w:kern w:val="0"/>
                <w:szCs w:val="21"/>
              </w:rPr>
            </w:pPr>
          </w:p>
        </w:tc>
        <w:tc>
          <w:tcPr>
            <w:tcW w:w="2985" w:type="dxa"/>
            <w:gridSpan w:val="2"/>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ascii="宋体" w:hAnsi="宋体" w:eastAsia="宋体" w:cs="宋体"/>
                <w:color w:val="333333"/>
                <w:kern w:val="0"/>
                <w:szCs w:val="21"/>
              </w:rPr>
            </w:pPr>
            <w:r>
              <w:rPr>
                <w:rFonts w:hint="eastAsia" w:ascii="楷体" w:hAnsi="楷体" w:eastAsia="楷体" w:cs="宋体"/>
                <w:color w:val="333333"/>
                <w:sz w:val="20"/>
                <w:szCs w:val="20"/>
              </w:rPr>
              <w:t>（二）部分公开（区分处理的，只计这一情形，不计其他情形）</w:t>
            </w:r>
          </w:p>
        </w:tc>
        <w:tc>
          <w:tcPr>
            <w:tcW w:w="82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rPr>
              <w:t>0</w:t>
            </w: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82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99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2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ascii="宋体" w:hAnsi="宋体" w:eastAsia="宋体" w:cs="宋体"/>
                <w:color w:val="333333"/>
                <w:kern w:val="0"/>
                <w:szCs w:val="21"/>
              </w:rPr>
            </w:pPr>
          </w:p>
        </w:tc>
        <w:tc>
          <w:tcPr>
            <w:tcW w:w="855" w:type="dxa"/>
            <w:vMerge w:val="restart"/>
            <w:tcBorders>
              <w:top w:val="nil"/>
              <w:left w:val="nil"/>
              <w:bottom w:val="single" w:color="auto" w:sz="4" w:space="0"/>
              <w:right w:val="single" w:color="auto" w:sz="4" w:space="0"/>
            </w:tcBorders>
            <w:vAlign w:val="center"/>
          </w:tcPr>
          <w:p>
            <w:pPr>
              <w:widowControl/>
              <w:spacing w:before="100" w:beforeAutospacing="1" w:after="180" w:line="480" w:lineRule="auto"/>
              <w:jc w:val="left"/>
              <w:rPr>
                <w:rFonts w:ascii="宋体" w:hAnsi="宋体" w:eastAsia="宋体" w:cs="宋体"/>
                <w:color w:val="333333"/>
                <w:kern w:val="0"/>
                <w:szCs w:val="21"/>
              </w:rPr>
            </w:pPr>
            <w:r>
              <w:rPr>
                <w:rFonts w:hint="eastAsia" w:ascii="楷体" w:hAnsi="楷体" w:eastAsia="楷体" w:cs="宋体"/>
                <w:color w:val="333333"/>
                <w:sz w:val="20"/>
                <w:szCs w:val="20"/>
              </w:rPr>
              <w:t>（三）不予公开</w:t>
            </w:r>
          </w:p>
        </w:tc>
        <w:tc>
          <w:tcPr>
            <w:tcW w:w="213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ascii="宋体" w:hAnsi="宋体" w:eastAsia="宋体" w:cs="宋体"/>
                <w:color w:val="333333"/>
                <w:kern w:val="0"/>
                <w:szCs w:val="21"/>
              </w:rPr>
            </w:pPr>
            <w:r>
              <w:rPr>
                <w:rFonts w:hint="eastAsia" w:ascii="楷体" w:hAnsi="楷体" w:eastAsia="楷体" w:cs="宋体"/>
                <w:color w:val="333333"/>
                <w:sz w:val="20"/>
                <w:szCs w:val="20"/>
              </w:rPr>
              <w:t>1.属于国家秘密</w:t>
            </w:r>
          </w:p>
        </w:tc>
        <w:tc>
          <w:tcPr>
            <w:tcW w:w="82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rPr>
              <w:t>0</w:t>
            </w: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82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99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2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spacing w:line="480" w:lineRule="auto"/>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ascii="宋体" w:hAnsi="宋体" w:eastAsia="宋体" w:cs="宋体"/>
                <w:color w:val="333333"/>
                <w:kern w:val="0"/>
                <w:szCs w:val="21"/>
              </w:rPr>
            </w:pPr>
            <w:r>
              <w:rPr>
                <w:rFonts w:hint="eastAsia" w:ascii="楷体" w:hAnsi="楷体" w:eastAsia="楷体" w:cs="宋体"/>
                <w:color w:val="333333"/>
                <w:sz w:val="20"/>
                <w:szCs w:val="20"/>
              </w:rPr>
              <w:t>2.其他法律行政法规禁止公开</w:t>
            </w:r>
          </w:p>
        </w:tc>
        <w:tc>
          <w:tcPr>
            <w:tcW w:w="82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rPr>
              <w:t>0</w:t>
            </w: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82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99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2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spacing w:line="480" w:lineRule="auto"/>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ascii="宋体" w:hAnsi="宋体" w:eastAsia="宋体" w:cs="宋体"/>
                <w:color w:val="333333"/>
                <w:kern w:val="0"/>
                <w:szCs w:val="21"/>
              </w:rPr>
            </w:pPr>
            <w:r>
              <w:rPr>
                <w:rFonts w:hint="eastAsia" w:ascii="楷体" w:hAnsi="楷体" w:eastAsia="楷体" w:cs="宋体"/>
                <w:color w:val="333333"/>
                <w:sz w:val="20"/>
                <w:szCs w:val="20"/>
              </w:rPr>
              <w:t>3.危及“三安全一稳定”</w:t>
            </w:r>
          </w:p>
        </w:tc>
        <w:tc>
          <w:tcPr>
            <w:tcW w:w="82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rPr>
              <w:t>0</w:t>
            </w: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82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99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2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spacing w:line="480" w:lineRule="auto"/>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ascii="宋体" w:hAnsi="宋体" w:eastAsia="宋体" w:cs="宋体"/>
                <w:color w:val="333333"/>
                <w:kern w:val="0"/>
                <w:szCs w:val="21"/>
              </w:rPr>
            </w:pPr>
            <w:r>
              <w:rPr>
                <w:rFonts w:hint="eastAsia" w:ascii="楷体" w:hAnsi="楷体" w:eastAsia="楷体" w:cs="宋体"/>
                <w:color w:val="333333"/>
                <w:sz w:val="20"/>
                <w:szCs w:val="20"/>
              </w:rPr>
              <w:t>4.保护第三方合法权益</w:t>
            </w:r>
          </w:p>
        </w:tc>
        <w:tc>
          <w:tcPr>
            <w:tcW w:w="82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rPr>
              <w:t>0</w:t>
            </w: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82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99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2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spacing w:line="480" w:lineRule="auto"/>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ascii="宋体" w:hAnsi="宋体" w:eastAsia="宋体" w:cs="宋体"/>
                <w:color w:val="333333"/>
                <w:kern w:val="0"/>
                <w:szCs w:val="21"/>
              </w:rPr>
            </w:pPr>
            <w:r>
              <w:rPr>
                <w:rFonts w:hint="eastAsia" w:ascii="楷体" w:hAnsi="楷体" w:eastAsia="楷体" w:cs="宋体"/>
                <w:color w:val="333333"/>
                <w:sz w:val="20"/>
                <w:szCs w:val="20"/>
              </w:rPr>
              <w:t>5.属于三类内部事务信息</w:t>
            </w:r>
          </w:p>
        </w:tc>
        <w:tc>
          <w:tcPr>
            <w:tcW w:w="82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rPr>
              <w:t>0</w:t>
            </w: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82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99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2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spacing w:line="480" w:lineRule="auto"/>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ascii="宋体" w:hAnsi="宋体" w:eastAsia="宋体" w:cs="宋体"/>
                <w:color w:val="333333"/>
                <w:kern w:val="0"/>
                <w:szCs w:val="21"/>
              </w:rPr>
            </w:pPr>
            <w:r>
              <w:rPr>
                <w:rFonts w:hint="eastAsia" w:ascii="楷体" w:hAnsi="楷体" w:eastAsia="楷体" w:cs="宋体"/>
                <w:color w:val="333333"/>
                <w:sz w:val="20"/>
                <w:szCs w:val="20"/>
              </w:rPr>
              <w:t>6.属于四类过程性信息</w:t>
            </w:r>
          </w:p>
        </w:tc>
        <w:tc>
          <w:tcPr>
            <w:tcW w:w="82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rPr>
              <w:t>0</w:t>
            </w: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82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99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2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spacing w:line="480" w:lineRule="auto"/>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ascii="宋体" w:hAnsi="宋体" w:eastAsia="宋体" w:cs="宋体"/>
                <w:color w:val="333333"/>
                <w:kern w:val="0"/>
                <w:szCs w:val="21"/>
              </w:rPr>
            </w:pPr>
            <w:r>
              <w:rPr>
                <w:rFonts w:hint="eastAsia" w:ascii="楷体" w:hAnsi="楷体" w:eastAsia="楷体" w:cs="宋体"/>
                <w:color w:val="333333"/>
                <w:sz w:val="20"/>
                <w:szCs w:val="20"/>
              </w:rPr>
              <w:t>7.属于行政执法案卷</w:t>
            </w:r>
          </w:p>
        </w:tc>
        <w:tc>
          <w:tcPr>
            <w:tcW w:w="82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rPr>
              <w:t>0</w:t>
            </w: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82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99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2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spacing w:line="480" w:lineRule="auto"/>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ascii="宋体" w:hAnsi="宋体" w:eastAsia="宋体" w:cs="宋体"/>
                <w:color w:val="333333"/>
                <w:kern w:val="0"/>
                <w:szCs w:val="21"/>
              </w:rPr>
            </w:pPr>
            <w:r>
              <w:rPr>
                <w:rFonts w:hint="eastAsia" w:ascii="楷体" w:hAnsi="楷体" w:eastAsia="楷体" w:cs="宋体"/>
                <w:color w:val="333333"/>
                <w:sz w:val="20"/>
                <w:szCs w:val="20"/>
              </w:rPr>
              <w:t>8.属于行政查询事项</w:t>
            </w:r>
          </w:p>
        </w:tc>
        <w:tc>
          <w:tcPr>
            <w:tcW w:w="82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rPr>
              <w:t>0</w:t>
            </w: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82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99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2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ascii="宋体" w:hAnsi="宋体" w:eastAsia="宋体" w:cs="宋体"/>
                <w:color w:val="333333"/>
                <w:kern w:val="0"/>
                <w:szCs w:val="21"/>
              </w:rPr>
            </w:pPr>
          </w:p>
        </w:tc>
        <w:tc>
          <w:tcPr>
            <w:tcW w:w="855" w:type="dxa"/>
            <w:vMerge w:val="restart"/>
            <w:tcBorders>
              <w:top w:val="nil"/>
              <w:left w:val="nil"/>
              <w:bottom w:val="single" w:color="auto" w:sz="4" w:space="0"/>
              <w:right w:val="single" w:color="auto" w:sz="4" w:space="0"/>
            </w:tcBorders>
            <w:vAlign w:val="center"/>
          </w:tcPr>
          <w:p>
            <w:pPr>
              <w:widowControl/>
              <w:spacing w:before="100" w:beforeAutospacing="1" w:after="180" w:line="480" w:lineRule="auto"/>
              <w:jc w:val="left"/>
              <w:rPr>
                <w:rFonts w:ascii="宋体" w:hAnsi="宋体" w:eastAsia="宋体" w:cs="宋体"/>
                <w:color w:val="333333"/>
                <w:kern w:val="0"/>
                <w:szCs w:val="21"/>
              </w:rPr>
            </w:pPr>
            <w:r>
              <w:rPr>
                <w:rFonts w:hint="eastAsia" w:ascii="楷体" w:hAnsi="楷体" w:eastAsia="楷体" w:cs="宋体"/>
                <w:color w:val="333333"/>
                <w:sz w:val="20"/>
                <w:szCs w:val="20"/>
              </w:rPr>
              <w:t>（四）无法提供</w:t>
            </w:r>
          </w:p>
        </w:tc>
        <w:tc>
          <w:tcPr>
            <w:tcW w:w="213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ascii="宋体" w:hAnsi="宋体" w:eastAsia="宋体" w:cs="宋体"/>
                <w:color w:val="333333"/>
                <w:kern w:val="0"/>
                <w:szCs w:val="21"/>
              </w:rPr>
            </w:pPr>
            <w:r>
              <w:rPr>
                <w:rFonts w:hint="eastAsia" w:ascii="楷体" w:hAnsi="楷体" w:eastAsia="楷体" w:cs="宋体"/>
                <w:color w:val="333333"/>
                <w:sz w:val="20"/>
                <w:szCs w:val="20"/>
              </w:rPr>
              <w:t>1.本机关不掌握相关政府信息</w:t>
            </w:r>
          </w:p>
        </w:tc>
        <w:tc>
          <w:tcPr>
            <w:tcW w:w="82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rPr>
              <w:t>0</w:t>
            </w: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82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99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2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spacing w:line="480" w:lineRule="auto"/>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ascii="宋体" w:hAnsi="宋体" w:eastAsia="宋体" w:cs="宋体"/>
                <w:color w:val="333333"/>
                <w:kern w:val="0"/>
                <w:szCs w:val="21"/>
              </w:rPr>
            </w:pPr>
            <w:r>
              <w:rPr>
                <w:rFonts w:hint="eastAsia" w:ascii="楷体" w:hAnsi="楷体" w:eastAsia="楷体" w:cs="宋体"/>
                <w:color w:val="333333"/>
                <w:sz w:val="20"/>
                <w:szCs w:val="20"/>
              </w:rPr>
              <w:t>2.没有现成信息需要另行制作</w:t>
            </w:r>
          </w:p>
        </w:tc>
        <w:tc>
          <w:tcPr>
            <w:tcW w:w="82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rPr>
              <w:t>0</w:t>
            </w: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82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99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2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spacing w:line="480" w:lineRule="auto"/>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ascii="宋体" w:hAnsi="宋体" w:eastAsia="宋体" w:cs="宋体"/>
                <w:color w:val="333333"/>
                <w:kern w:val="0"/>
                <w:szCs w:val="21"/>
              </w:rPr>
            </w:pPr>
            <w:r>
              <w:rPr>
                <w:rFonts w:hint="eastAsia" w:ascii="楷体" w:hAnsi="楷体" w:eastAsia="楷体" w:cs="宋体"/>
                <w:color w:val="333333"/>
                <w:sz w:val="20"/>
                <w:szCs w:val="20"/>
              </w:rPr>
              <w:t>3.补正后申请内容仍不明确</w:t>
            </w:r>
          </w:p>
        </w:tc>
        <w:tc>
          <w:tcPr>
            <w:tcW w:w="82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rPr>
              <w:t>0</w:t>
            </w: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82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99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2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ascii="宋体" w:hAnsi="宋体" w:eastAsia="宋体" w:cs="宋体"/>
                <w:color w:val="333333"/>
                <w:kern w:val="0"/>
                <w:szCs w:val="21"/>
              </w:rPr>
            </w:pPr>
          </w:p>
        </w:tc>
        <w:tc>
          <w:tcPr>
            <w:tcW w:w="855" w:type="dxa"/>
            <w:vMerge w:val="restart"/>
            <w:tcBorders>
              <w:top w:val="nil"/>
              <w:left w:val="nil"/>
              <w:bottom w:val="single" w:color="auto" w:sz="4" w:space="0"/>
              <w:right w:val="single" w:color="auto" w:sz="4" w:space="0"/>
            </w:tcBorders>
            <w:vAlign w:val="center"/>
          </w:tcPr>
          <w:p>
            <w:pPr>
              <w:widowControl/>
              <w:spacing w:before="100" w:beforeAutospacing="1" w:after="180" w:line="480" w:lineRule="auto"/>
              <w:jc w:val="left"/>
              <w:rPr>
                <w:rFonts w:ascii="宋体" w:hAnsi="宋体" w:eastAsia="宋体" w:cs="宋体"/>
                <w:color w:val="333333"/>
                <w:kern w:val="0"/>
                <w:szCs w:val="21"/>
              </w:rPr>
            </w:pPr>
            <w:r>
              <w:rPr>
                <w:rFonts w:hint="eastAsia" w:ascii="楷体" w:hAnsi="楷体" w:eastAsia="楷体" w:cs="宋体"/>
                <w:color w:val="333333"/>
                <w:sz w:val="20"/>
                <w:szCs w:val="20"/>
              </w:rPr>
              <w:t>（五）不予处理</w:t>
            </w:r>
          </w:p>
        </w:tc>
        <w:tc>
          <w:tcPr>
            <w:tcW w:w="213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ascii="宋体" w:hAnsi="宋体" w:eastAsia="宋体" w:cs="宋体"/>
                <w:color w:val="333333"/>
                <w:kern w:val="0"/>
                <w:szCs w:val="21"/>
              </w:rPr>
            </w:pPr>
            <w:r>
              <w:rPr>
                <w:rFonts w:hint="eastAsia" w:ascii="楷体" w:hAnsi="楷体" w:eastAsia="楷体" w:cs="宋体"/>
                <w:color w:val="333333"/>
                <w:sz w:val="20"/>
                <w:szCs w:val="20"/>
              </w:rPr>
              <w:t>1.信访举报投诉类申请</w:t>
            </w:r>
          </w:p>
        </w:tc>
        <w:tc>
          <w:tcPr>
            <w:tcW w:w="82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rPr>
              <w:t>0</w:t>
            </w: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82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99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2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spacing w:line="480" w:lineRule="auto"/>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ascii="宋体" w:hAnsi="宋体" w:eastAsia="宋体" w:cs="宋体"/>
                <w:color w:val="333333"/>
                <w:kern w:val="0"/>
                <w:szCs w:val="21"/>
              </w:rPr>
            </w:pPr>
            <w:r>
              <w:rPr>
                <w:rFonts w:hint="eastAsia" w:ascii="楷体" w:hAnsi="楷体" w:eastAsia="楷体" w:cs="宋体"/>
                <w:color w:val="333333"/>
                <w:sz w:val="20"/>
                <w:szCs w:val="20"/>
              </w:rPr>
              <w:t>2.重复申请</w:t>
            </w:r>
          </w:p>
        </w:tc>
        <w:tc>
          <w:tcPr>
            <w:tcW w:w="82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rPr>
              <w:t>0</w:t>
            </w: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82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99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2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spacing w:line="480" w:lineRule="auto"/>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ascii="宋体" w:hAnsi="宋体" w:eastAsia="宋体" w:cs="宋体"/>
                <w:color w:val="333333"/>
                <w:kern w:val="0"/>
                <w:szCs w:val="21"/>
              </w:rPr>
            </w:pPr>
            <w:r>
              <w:rPr>
                <w:rFonts w:hint="eastAsia" w:ascii="楷体" w:hAnsi="楷体" w:eastAsia="楷体" w:cs="宋体"/>
                <w:color w:val="333333"/>
                <w:sz w:val="20"/>
                <w:szCs w:val="20"/>
              </w:rPr>
              <w:t>3.要求提供公开出版物</w:t>
            </w:r>
          </w:p>
        </w:tc>
        <w:tc>
          <w:tcPr>
            <w:tcW w:w="82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rPr>
              <w:t>0</w:t>
            </w: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82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99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2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spacing w:line="480" w:lineRule="auto"/>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ascii="宋体" w:hAnsi="宋体" w:eastAsia="宋体" w:cs="宋体"/>
                <w:color w:val="333333"/>
                <w:kern w:val="0"/>
                <w:szCs w:val="21"/>
              </w:rPr>
            </w:pPr>
            <w:r>
              <w:rPr>
                <w:rFonts w:hint="eastAsia" w:ascii="楷体" w:hAnsi="楷体" w:eastAsia="楷体" w:cs="宋体"/>
                <w:color w:val="333333"/>
                <w:sz w:val="20"/>
                <w:szCs w:val="20"/>
              </w:rPr>
              <w:t>4.无正当理由大量反复申请</w:t>
            </w:r>
          </w:p>
        </w:tc>
        <w:tc>
          <w:tcPr>
            <w:tcW w:w="82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rPr>
              <w:t>0</w:t>
            </w: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82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99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2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spacing w:line="480" w:lineRule="auto"/>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ascii="宋体" w:hAnsi="宋体" w:eastAsia="宋体" w:cs="宋体"/>
                <w:color w:val="333333"/>
                <w:kern w:val="0"/>
                <w:szCs w:val="21"/>
              </w:rPr>
            </w:pPr>
            <w:r>
              <w:rPr>
                <w:rFonts w:hint="eastAsia" w:ascii="楷体" w:hAnsi="楷体" w:eastAsia="楷体" w:cs="宋体"/>
                <w:color w:val="333333"/>
                <w:sz w:val="20"/>
                <w:szCs w:val="20"/>
              </w:rPr>
              <w:t>5.要求行政机关确认或重新出具已获取信息</w:t>
            </w:r>
          </w:p>
        </w:tc>
        <w:tc>
          <w:tcPr>
            <w:tcW w:w="82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rPr>
              <w:t>0</w:t>
            </w: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82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99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2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ascii="宋体" w:hAnsi="宋体" w:eastAsia="宋体" w:cs="宋体"/>
                <w:color w:val="333333"/>
                <w:kern w:val="0"/>
                <w:szCs w:val="21"/>
              </w:rPr>
            </w:pPr>
          </w:p>
        </w:tc>
        <w:tc>
          <w:tcPr>
            <w:tcW w:w="2985" w:type="dxa"/>
            <w:gridSpan w:val="2"/>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ascii="宋体" w:hAnsi="宋体" w:eastAsia="宋体" w:cs="宋体"/>
                <w:color w:val="333333"/>
                <w:kern w:val="0"/>
                <w:szCs w:val="21"/>
              </w:rPr>
            </w:pPr>
            <w:r>
              <w:rPr>
                <w:rFonts w:hint="eastAsia" w:ascii="楷体" w:hAnsi="楷体" w:eastAsia="楷体" w:cs="宋体"/>
                <w:color w:val="333333"/>
                <w:sz w:val="20"/>
                <w:szCs w:val="20"/>
              </w:rPr>
              <w:t>（六）其他处理</w:t>
            </w:r>
          </w:p>
        </w:tc>
        <w:tc>
          <w:tcPr>
            <w:tcW w:w="82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rPr>
              <w:t>0</w:t>
            </w: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82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99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2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ascii="宋体" w:hAnsi="宋体" w:eastAsia="宋体" w:cs="宋体"/>
                <w:color w:val="333333"/>
                <w:kern w:val="0"/>
                <w:szCs w:val="21"/>
              </w:rPr>
            </w:pPr>
          </w:p>
        </w:tc>
        <w:tc>
          <w:tcPr>
            <w:tcW w:w="2985" w:type="dxa"/>
            <w:gridSpan w:val="2"/>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ascii="宋体" w:hAnsi="宋体" w:eastAsia="宋体" w:cs="宋体"/>
                <w:color w:val="333333"/>
                <w:kern w:val="0"/>
                <w:szCs w:val="21"/>
              </w:rPr>
            </w:pPr>
            <w:r>
              <w:rPr>
                <w:rFonts w:hint="eastAsia" w:ascii="楷体" w:hAnsi="楷体" w:eastAsia="楷体" w:cs="宋体"/>
                <w:color w:val="333333"/>
                <w:sz w:val="20"/>
                <w:szCs w:val="20"/>
              </w:rPr>
              <w:t>（七）总计</w:t>
            </w:r>
          </w:p>
        </w:tc>
        <w:tc>
          <w:tcPr>
            <w:tcW w:w="82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rPr>
              <w:t>0</w:t>
            </w: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82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99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2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gridSpan w:val="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80" w:line="480" w:lineRule="auto"/>
              <w:jc w:val="left"/>
              <w:rPr>
                <w:rFonts w:ascii="宋体" w:hAnsi="宋体" w:eastAsia="宋体" w:cs="宋体"/>
                <w:color w:val="333333"/>
                <w:kern w:val="0"/>
                <w:szCs w:val="21"/>
              </w:rPr>
            </w:pPr>
            <w:r>
              <w:rPr>
                <w:rFonts w:hint="eastAsia" w:ascii="Calibri" w:hAnsi="Calibri" w:eastAsia="宋体" w:cs="Times New Roman"/>
                <w:color w:val="333333"/>
                <w:sz w:val="20"/>
                <w:szCs w:val="20"/>
              </w:rPr>
              <w:t>四、结转下年度继续办理</w:t>
            </w:r>
          </w:p>
        </w:tc>
        <w:tc>
          <w:tcPr>
            <w:tcW w:w="82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rPr>
              <w:t>0</w:t>
            </w: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82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99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2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r>
    </w:tbl>
    <w:p>
      <w:pPr>
        <w:widowControl/>
        <w:spacing w:line="432" w:lineRule="auto"/>
        <w:ind w:firstLine="480"/>
        <w:rPr>
          <w:rFonts w:ascii="仿宋" w:hAnsi="仿宋" w:eastAsia="仿宋" w:cs="宋体"/>
          <w:color w:val="333333"/>
          <w:kern w:val="0"/>
          <w:sz w:val="32"/>
          <w:szCs w:val="32"/>
        </w:rPr>
      </w:pPr>
    </w:p>
    <w:p>
      <w:pPr>
        <w:widowControl/>
        <w:spacing w:line="432" w:lineRule="auto"/>
        <w:ind w:firstLine="480"/>
        <w:rPr>
          <w:rFonts w:ascii="黑体" w:hAnsi="黑体" w:eastAsia="黑体" w:cs="宋体"/>
          <w:color w:val="333333"/>
          <w:kern w:val="0"/>
          <w:sz w:val="32"/>
          <w:szCs w:val="32"/>
        </w:rPr>
      </w:pPr>
      <w:r>
        <w:rPr>
          <w:rFonts w:hint="eastAsia" w:ascii="黑体" w:hAnsi="黑体" w:eastAsia="黑体" w:cs="宋体"/>
          <w:color w:val="333333"/>
          <w:kern w:val="0"/>
          <w:sz w:val="32"/>
          <w:szCs w:val="32"/>
        </w:rPr>
        <w:t>四、政府信息公开行政复议、行政诉讼情况</w:t>
      </w:r>
    </w:p>
    <w:tbl>
      <w:tblPr>
        <w:tblStyle w:val="5"/>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4" w:type="dxa"/>
            <w:gridSpan w:val="5"/>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行政复议</w:t>
            </w:r>
          </w:p>
        </w:tc>
        <w:tc>
          <w:tcPr>
            <w:tcW w:w="5997" w:type="dxa"/>
            <w:gridSpan w:val="10"/>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vMerge w:val="restart"/>
            <w:tcBorders>
              <w:top w:val="nil"/>
              <w:left w:val="single" w:color="auto" w:sz="4" w:space="0"/>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结果维持</w:t>
            </w:r>
          </w:p>
        </w:tc>
        <w:tc>
          <w:tcPr>
            <w:tcW w:w="604" w:type="dxa"/>
            <w:vMerge w:val="restart"/>
            <w:tcBorders>
              <w:top w:val="nil"/>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结果纠正</w:t>
            </w:r>
          </w:p>
        </w:tc>
        <w:tc>
          <w:tcPr>
            <w:tcW w:w="604" w:type="dxa"/>
            <w:vMerge w:val="restart"/>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其他结果</w:t>
            </w:r>
          </w:p>
        </w:tc>
        <w:tc>
          <w:tcPr>
            <w:tcW w:w="604" w:type="dxa"/>
            <w:vMerge w:val="restart"/>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尚未审结</w:t>
            </w:r>
          </w:p>
        </w:tc>
        <w:tc>
          <w:tcPr>
            <w:tcW w:w="658" w:type="dxa"/>
            <w:vMerge w:val="restart"/>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总计</w:t>
            </w:r>
          </w:p>
        </w:tc>
        <w:tc>
          <w:tcPr>
            <w:tcW w:w="2970" w:type="dxa"/>
            <w:gridSpan w:val="5"/>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未经复议直接起诉</w:t>
            </w:r>
          </w:p>
        </w:tc>
        <w:tc>
          <w:tcPr>
            <w:tcW w:w="3027" w:type="dxa"/>
            <w:gridSpan w:val="5"/>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ascii="宋体" w:hAnsi="宋体" w:eastAsia="宋体" w:cs="宋体"/>
                <w:color w:val="333333"/>
                <w:kern w:val="0"/>
                <w:szCs w:val="21"/>
              </w:rPr>
            </w:pPr>
          </w:p>
        </w:tc>
        <w:tc>
          <w:tcPr>
            <w:tcW w:w="604" w:type="dxa"/>
            <w:vMerge w:val="continue"/>
            <w:tcBorders>
              <w:top w:val="nil"/>
              <w:left w:val="nil"/>
              <w:bottom w:val="single" w:color="auto" w:sz="4" w:space="0"/>
              <w:right w:val="single" w:color="auto" w:sz="4" w:space="0"/>
            </w:tcBorders>
            <w:vAlign w:val="center"/>
          </w:tcPr>
          <w:p>
            <w:pPr>
              <w:widowControl/>
              <w:spacing w:line="480" w:lineRule="auto"/>
              <w:jc w:val="left"/>
              <w:rPr>
                <w:rFonts w:ascii="宋体" w:hAnsi="宋体" w:eastAsia="宋体" w:cs="宋体"/>
                <w:color w:val="333333"/>
                <w:kern w:val="0"/>
                <w:szCs w:val="21"/>
              </w:rPr>
            </w:pPr>
          </w:p>
        </w:tc>
        <w:tc>
          <w:tcPr>
            <w:tcW w:w="604" w:type="dxa"/>
            <w:vMerge w:val="continue"/>
            <w:tcBorders>
              <w:top w:val="single" w:color="auto" w:sz="4" w:space="0"/>
              <w:left w:val="nil"/>
              <w:bottom w:val="single" w:color="auto" w:sz="4" w:space="0"/>
              <w:right w:val="single" w:color="auto" w:sz="4" w:space="0"/>
            </w:tcBorders>
            <w:vAlign w:val="center"/>
          </w:tcPr>
          <w:p>
            <w:pPr>
              <w:widowControl/>
              <w:spacing w:line="480" w:lineRule="auto"/>
              <w:jc w:val="left"/>
              <w:rPr>
                <w:rFonts w:ascii="宋体" w:hAnsi="宋体" w:eastAsia="宋体" w:cs="宋体"/>
                <w:color w:val="333333"/>
                <w:kern w:val="0"/>
                <w:szCs w:val="21"/>
              </w:rPr>
            </w:pPr>
          </w:p>
        </w:tc>
        <w:tc>
          <w:tcPr>
            <w:tcW w:w="604" w:type="dxa"/>
            <w:vMerge w:val="continue"/>
            <w:tcBorders>
              <w:top w:val="single" w:color="auto" w:sz="4" w:space="0"/>
              <w:left w:val="nil"/>
              <w:bottom w:val="single" w:color="auto" w:sz="4" w:space="0"/>
              <w:right w:val="single" w:color="auto" w:sz="4" w:space="0"/>
            </w:tcBorders>
            <w:vAlign w:val="center"/>
          </w:tcPr>
          <w:p>
            <w:pPr>
              <w:widowControl/>
              <w:spacing w:line="480" w:lineRule="auto"/>
              <w:jc w:val="left"/>
              <w:rPr>
                <w:rFonts w:ascii="宋体" w:hAnsi="宋体" w:eastAsia="宋体" w:cs="宋体"/>
                <w:color w:val="333333"/>
                <w:kern w:val="0"/>
                <w:szCs w:val="21"/>
              </w:rPr>
            </w:pPr>
          </w:p>
        </w:tc>
        <w:tc>
          <w:tcPr>
            <w:tcW w:w="658" w:type="dxa"/>
            <w:vMerge w:val="continue"/>
            <w:tcBorders>
              <w:top w:val="single" w:color="auto" w:sz="4" w:space="0"/>
              <w:left w:val="nil"/>
              <w:bottom w:val="single" w:color="auto" w:sz="4" w:space="0"/>
              <w:right w:val="single" w:color="auto" w:sz="4" w:space="0"/>
            </w:tcBorders>
            <w:vAlign w:val="center"/>
          </w:tcPr>
          <w:p>
            <w:pPr>
              <w:widowControl/>
              <w:spacing w:line="480" w:lineRule="auto"/>
              <w:jc w:val="left"/>
              <w:rPr>
                <w:rFonts w:ascii="宋体" w:hAnsi="宋体" w:eastAsia="宋体" w:cs="宋体"/>
                <w:color w:val="333333"/>
                <w:kern w:val="0"/>
                <w:szCs w:val="21"/>
              </w:rPr>
            </w:pPr>
          </w:p>
        </w:tc>
        <w:tc>
          <w:tcPr>
            <w:tcW w:w="55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结果维持</w:t>
            </w:r>
          </w:p>
        </w:tc>
        <w:tc>
          <w:tcPr>
            <w:tcW w:w="60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结果纠正</w:t>
            </w:r>
          </w:p>
        </w:tc>
        <w:tc>
          <w:tcPr>
            <w:tcW w:w="60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其他结果</w:t>
            </w:r>
          </w:p>
        </w:tc>
        <w:tc>
          <w:tcPr>
            <w:tcW w:w="60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尚未审结</w:t>
            </w:r>
          </w:p>
        </w:tc>
        <w:tc>
          <w:tcPr>
            <w:tcW w:w="60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宋体" w:hAnsi="宋体" w:eastAsia="宋体" w:cs="宋体"/>
                <w:color w:val="000000"/>
                <w:kern w:val="0"/>
                <w:sz w:val="20"/>
                <w:szCs w:val="20"/>
              </w:rPr>
              <w:t>总计</w:t>
            </w:r>
          </w:p>
        </w:tc>
        <w:tc>
          <w:tcPr>
            <w:tcW w:w="60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结果维持</w:t>
            </w:r>
          </w:p>
        </w:tc>
        <w:tc>
          <w:tcPr>
            <w:tcW w:w="60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结果纠正</w:t>
            </w:r>
          </w:p>
        </w:tc>
        <w:tc>
          <w:tcPr>
            <w:tcW w:w="60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宋体" w:hAnsi="宋体" w:eastAsia="宋体" w:cs="宋体"/>
                <w:color w:val="000000"/>
                <w:kern w:val="0"/>
                <w:sz w:val="20"/>
                <w:szCs w:val="20"/>
              </w:rPr>
              <w:t>其他结果</w:t>
            </w:r>
          </w:p>
        </w:tc>
        <w:tc>
          <w:tcPr>
            <w:tcW w:w="606"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尚未审结</w:t>
            </w:r>
          </w:p>
        </w:tc>
        <w:tc>
          <w:tcPr>
            <w:tcW w:w="606"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宋体" w:hAnsi="宋体" w:eastAsia="宋体" w:cs="宋体"/>
                <w:color w:val="000000"/>
                <w:kern w:val="0"/>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rPr>
              <w:t>0</w:t>
            </w:r>
          </w:p>
        </w:tc>
        <w:tc>
          <w:tcPr>
            <w:tcW w:w="604"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604"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604"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658"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55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60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60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rPr>
              <w:t>0</w:t>
            </w:r>
          </w:p>
        </w:tc>
        <w:tc>
          <w:tcPr>
            <w:tcW w:w="60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60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60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60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60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606"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606"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r>
    </w:tbl>
    <w:p>
      <w:pPr>
        <w:widowControl/>
        <w:spacing w:line="432" w:lineRule="auto"/>
        <w:ind w:firstLine="480" w:firstLineChars="150"/>
        <w:rPr>
          <w:rFonts w:ascii="黑体" w:hAnsi="黑体" w:eastAsia="黑体" w:cs="Times New Roman"/>
          <w:color w:val="333333"/>
          <w:kern w:val="0"/>
          <w:sz w:val="32"/>
          <w:szCs w:val="32"/>
        </w:rPr>
      </w:pPr>
      <w:r>
        <w:rPr>
          <w:rFonts w:ascii="黑体" w:hAnsi="黑体" w:eastAsia="黑体" w:cs="Times New Roman"/>
          <w:color w:val="333333"/>
          <w:kern w:val="0"/>
          <w:sz w:val="32"/>
          <w:szCs w:val="32"/>
        </w:rPr>
        <w:t>五、存在的主要问题及改进情况</w:t>
      </w:r>
    </w:p>
    <w:p>
      <w:pPr>
        <w:widowControl/>
        <w:spacing w:line="432" w:lineRule="auto"/>
        <w:ind w:firstLine="480"/>
        <w:rPr>
          <w:rFonts w:hint="eastAsia" w:ascii="楷体" w:hAnsi="楷体" w:eastAsia="楷体" w:cs="Times New Roman"/>
          <w:color w:val="333333"/>
          <w:kern w:val="0"/>
          <w:sz w:val="32"/>
          <w:szCs w:val="32"/>
        </w:rPr>
      </w:pPr>
      <w:r>
        <w:rPr>
          <w:rFonts w:hint="eastAsia" w:ascii="楷体" w:hAnsi="楷体" w:eastAsia="楷体" w:cs="Times New Roman"/>
          <w:color w:val="333333"/>
          <w:kern w:val="0"/>
          <w:sz w:val="32"/>
          <w:szCs w:val="32"/>
        </w:rPr>
        <w:t>（一）存在的主要问题</w:t>
      </w:r>
    </w:p>
    <w:p>
      <w:pPr>
        <w:widowControl/>
        <w:spacing w:line="432" w:lineRule="auto"/>
        <w:ind w:firstLine="480"/>
        <w:rPr>
          <w:rFonts w:hint="eastAsia" w:ascii="仿宋" w:hAnsi="仿宋" w:eastAsia="仿宋" w:cs="Times New Roman"/>
          <w:color w:val="333333"/>
          <w:kern w:val="0"/>
          <w:sz w:val="32"/>
          <w:szCs w:val="32"/>
        </w:rPr>
      </w:pPr>
      <w:r>
        <w:rPr>
          <w:rFonts w:hint="eastAsia" w:ascii="仿宋" w:hAnsi="仿宋" w:eastAsia="仿宋" w:cs="Times New Roman"/>
          <w:color w:val="333333"/>
          <w:kern w:val="0"/>
          <w:sz w:val="32"/>
          <w:szCs w:val="32"/>
        </w:rPr>
        <w:t>2019年，总体来说，我局较好地完成了信息公开工作，但还存在一些不足之处，主要表现在：一是政府信息公开工作的机制制度有待完善。二是主动公开意识有待加强，公开的力度、深度、广度有待拓展。三是政府信息公开业务培训学习还有待加强。</w:t>
      </w:r>
    </w:p>
    <w:p>
      <w:pPr>
        <w:widowControl/>
        <w:spacing w:line="432" w:lineRule="auto"/>
        <w:ind w:firstLine="480"/>
        <w:rPr>
          <w:rFonts w:hint="eastAsia" w:ascii="楷体" w:hAnsi="楷体" w:eastAsia="楷体" w:cs="Times New Roman"/>
          <w:color w:val="333333"/>
          <w:kern w:val="0"/>
          <w:sz w:val="32"/>
          <w:szCs w:val="32"/>
        </w:rPr>
      </w:pPr>
      <w:r>
        <w:rPr>
          <w:rFonts w:hint="eastAsia" w:ascii="楷体" w:hAnsi="楷体" w:eastAsia="楷体" w:cs="Times New Roman"/>
          <w:color w:val="333333"/>
          <w:kern w:val="0"/>
          <w:sz w:val="32"/>
          <w:szCs w:val="32"/>
        </w:rPr>
        <w:t>（二）改进情况</w:t>
      </w:r>
    </w:p>
    <w:p>
      <w:pPr>
        <w:widowControl/>
        <w:spacing w:line="432" w:lineRule="auto"/>
        <w:ind w:firstLine="480"/>
        <w:rPr>
          <w:rFonts w:hint="eastAsia" w:ascii="仿宋" w:hAnsi="仿宋" w:eastAsia="仿宋" w:cs="Times New Roman"/>
          <w:color w:val="333333"/>
          <w:kern w:val="0"/>
          <w:sz w:val="32"/>
          <w:szCs w:val="32"/>
        </w:rPr>
      </w:pPr>
      <w:r>
        <w:rPr>
          <w:rFonts w:hint="eastAsia" w:ascii="仿宋" w:hAnsi="仿宋" w:eastAsia="仿宋" w:cs="Times New Roman"/>
          <w:color w:val="333333"/>
          <w:kern w:val="0"/>
          <w:sz w:val="32"/>
          <w:szCs w:val="32"/>
        </w:rPr>
        <w:t>针对不足之处，今后，我局将采取以下措施加以解决：</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一是进一步健全完善信息公开工作制度。严格执行政府信息公开审查制度，及时发布主动公开信息，充分利用好辽中区政府门户网站、全国企业信用信息系统、食安辽中微信号等渠道，便捷群众知晓信息公开工作。</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二是加大主动公开力度。拓展群众关切的市场监管领域的政策法规、工作动态、规划计划、行政许可、行政处罚等主动公开信息范围，做到应公开尽公开，并及时公开，保障群众对市场监管工作的知情权和监督权。</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三是通过政务公开业务知识培训学习，进一步提高工作人员的政治思想素质和业务工作能力，不断提升政府信息公开工作的整体水平。</w:t>
      </w:r>
    </w:p>
    <w:p>
      <w:pPr>
        <w:widowControl/>
        <w:spacing w:line="432" w:lineRule="auto"/>
        <w:ind w:firstLine="480"/>
        <w:rPr>
          <w:rFonts w:ascii="黑体" w:hAnsi="黑体" w:eastAsia="黑体" w:cs="Times New Roman"/>
          <w:color w:val="333333"/>
          <w:kern w:val="0"/>
          <w:sz w:val="32"/>
          <w:szCs w:val="32"/>
        </w:rPr>
      </w:pPr>
      <w:r>
        <w:rPr>
          <w:rFonts w:ascii="黑体" w:hAnsi="黑体" w:eastAsia="黑体" w:cs="Times New Roman"/>
          <w:color w:val="333333"/>
          <w:kern w:val="0"/>
          <w:sz w:val="32"/>
          <w:szCs w:val="32"/>
        </w:rPr>
        <w:t>六、其他需要报告的事项</w:t>
      </w:r>
    </w:p>
    <w:p>
      <w:pPr>
        <w:widowControl/>
        <w:spacing w:line="432" w:lineRule="auto"/>
        <w:ind w:firstLine="480"/>
        <w:rPr>
          <w:rFonts w:ascii="黑体" w:hAnsi="黑体" w:eastAsia="黑体" w:cs="Times New Roman"/>
          <w:color w:val="333333"/>
          <w:kern w:val="0"/>
          <w:sz w:val="32"/>
          <w:szCs w:val="32"/>
        </w:rPr>
      </w:pPr>
      <w:r>
        <w:rPr>
          <w:rFonts w:hint="eastAsia" w:ascii="仿宋" w:hAnsi="仿宋" w:eastAsia="仿宋" w:cs="Times New Roman"/>
          <w:color w:val="333333"/>
          <w:kern w:val="0"/>
          <w:sz w:val="32"/>
          <w:szCs w:val="32"/>
        </w:rPr>
        <w:t>无</w:t>
      </w:r>
    </w:p>
    <w:p>
      <w:pPr>
        <w:spacing w:line="360" w:lineRule="auto"/>
        <w:ind w:firstLine="640" w:firstLineChars="200"/>
        <w:rPr>
          <w:rFonts w:hint="eastAsia" w:ascii="仿宋_GB2312" w:hAnsi="宋体" w:eastAsia="仿宋_GB2312" w:cs="宋体"/>
          <w:kern w:val="0"/>
          <w:sz w:val="32"/>
          <w:szCs w:val="32"/>
        </w:rPr>
      </w:pPr>
    </w:p>
    <w:p>
      <w:pPr>
        <w:spacing w:line="360" w:lineRule="auto"/>
        <w:ind w:firstLine="640" w:firstLineChars="200"/>
        <w:rPr>
          <w:rFonts w:hint="eastAsia" w:ascii="仿宋_GB2312" w:hAnsi="宋体" w:eastAsia="仿宋_GB2312" w:cs="宋体"/>
          <w:kern w:val="0"/>
          <w:sz w:val="32"/>
          <w:szCs w:val="32"/>
        </w:rPr>
      </w:pPr>
    </w:p>
    <w:p>
      <w:pPr>
        <w:spacing w:line="360" w:lineRule="auto"/>
        <w:ind w:firstLine="640" w:firstLineChars="200"/>
        <w:rPr>
          <w:rFonts w:hint="eastAsia" w:ascii="仿宋_GB2312" w:hAnsi="宋体" w:eastAsia="仿宋_GB2312" w:cs="宋体"/>
          <w:kern w:val="0"/>
          <w:sz w:val="32"/>
          <w:szCs w:val="32"/>
        </w:rPr>
      </w:pPr>
    </w:p>
    <w:p>
      <w:pPr>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                 沈阳市辽中区市场监督管理局</w:t>
      </w:r>
    </w:p>
    <w:p>
      <w:pPr>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2020年2月21日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94926113"/>
      <w:docPartObj>
        <w:docPartGallery w:val="AutoText"/>
      </w:docPartObj>
    </w:sdtPr>
    <w:sdtEndPr>
      <w:rPr>
        <w:sz w:val="24"/>
        <w:lang w:val="zh-CN"/>
      </w:rPr>
    </w:sdtEndPr>
    <w:sdtContent>
      <w:p>
        <w:pPr>
          <w:pStyle w:val="3"/>
          <w:jc w:val="center"/>
          <w:rPr>
            <w:sz w:val="24"/>
          </w:rPr>
        </w:pPr>
        <w:r>
          <w:rPr>
            <w:sz w:val="24"/>
          </w:rPr>
          <w:fldChar w:fldCharType="begin"/>
        </w:r>
        <w:r>
          <w:rPr>
            <w:sz w:val="24"/>
          </w:rPr>
          <w:instrText xml:space="preserve"> PAGE   \* MERGEFORMAT </w:instrText>
        </w:r>
        <w:r>
          <w:rPr>
            <w:sz w:val="24"/>
          </w:rPr>
          <w:fldChar w:fldCharType="separate"/>
        </w:r>
        <w:r>
          <w:rPr>
            <w:sz w:val="24"/>
            <w:lang w:val="zh-CN"/>
          </w:rPr>
          <w:t>4</w:t>
        </w:r>
        <w:r>
          <w:rPr>
            <w:sz w:val="24"/>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5A6"/>
    <w:rsid w:val="00025403"/>
    <w:rsid w:val="000F1C7C"/>
    <w:rsid w:val="001C0120"/>
    <w:rsid w:val="00277EDC"/>
    <w:rsid w:val="003B60D8"/>
    <w:rsid w:val="003E32E3"/>
    <w:rsid w:val="00476A38"/>
    <w:rsid w:val="00515FAB"/>
    <w:rsid w:val="0062722C"/>
    <w:rsid w:val="006C7393"/>
    <w:rsid w:val="008A66DA"/>
    <w:rsid w:val="009C05C0"/>
    <w:rsid w:val="00AD45A6"/>
    <w:rsid w:val="00B93343"/>
    <w:rsid w:val="00BD5E9C"/>
    <w:rsid w:val="00C449E6"/>
    <w:rsid w:val="00DA4A4B"/>
    <w:rsid w:val="00F005D6"/>
    <w:rsid w:val="00F77254"/>
    <w:rsid w:val="5FD837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Emphasis"/>
    <w:basedOn w:val="6"/>
    <w:qFormat/>
    <w:uiPriority w:val="20"/>
    <w:rPr>
      <w:i/>
      <w:iCs/>
    </w:rPr>
  </w:style>
  <w:style w:type="character" w:customStyle="1" w:styleId="8">
    <w:name w:val="页眉 Char"/>
    <w:basedOn w:val="6"/>
    <w:link w:val="4"/>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412</Words>
  <Characters>2352</Characters>
  <Lines>19</Lines>
  <Paragraphs>5</Paragraphs>
  <TotalTime>96</TotalTime>
  <ScaleCrop>false</ScaleCrop>
  <LinksUpToDate>false</LinksUpToDate>
  <CharactersWithSpaces>2759</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2020-02-21T03:11:00Z</dcterms:created>
  <dc:creator>市场监督局-朱虹</dc:creator>
  <cp:lastModifiedBy>Administrator</cp:lastModifiedBy>
  <cp:lastPrinted>2020-02-21T05:55:00Z</cp:lastPrinted>
  <dcterms:modified xsi:type="dcterms:W3CDTF">2020-02-24T07:41:04Z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