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60" w:lineRule="exact"/>
        <w:jc w:val="center"/>
        <w:rPr>
          <w:rFonts w:hint="eastAsia" w:ascii="宋体" w:hAnsi="宋体"/>
          <w:b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宋体" w:hAnsi="宋体"/>
          <w:b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政府信息公开工作2020年度报告</w:t>
      </w:r>
    </w:p>
    <w:p>
      <w:pPr>
        <w:jc w:val="center"/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蒲东街道办事处</w:t>
      </w:r>
    </w:p>
    <w:p>
      <w:pPr>
        <w:jc w:val="center"/>
        <w:rPr>
          <w:rFonts w:hint="default" w:ascii="楷体" w:hAnsi="楷体" w:eastAsia="楷体" w:cs="楷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（2021年1月）</w:t>
      </w:r>
    </w:p>
    <w:p>
      <w:pPr>
        <w:spacing w:line="560" w:lineRule="exact"/>
        <w:jc w:val="center"/>
        <w:rPr>
          <w:rFonts w:hint="eastAsia" w:ascii="宋体" w:hAnsi="宋体"/>
          <w:b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1"/>
        </w:numPr>
        <w:spacing w:line="560" w:lineRule="exact"/>
        <w:jc w:val="both"/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总体情况</w:t>
      </w:r>
    </w:p>
    <w:p>
      <w:pPr>
        <w:ind w:firstLine="640" w:firstLineChars="200"/>
        <w:jc w:val="both"/>
        <w:rPr>
          <w:rFonts w:hint="eastAsia" w:ascii="仿宋" w:hAnsi="仿宋" w:eastAsia="仿宋"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" w:hAnsi="仿宋" w:eastAsia="仿宋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" w:hAnsi="仿宋" w:eastAsia="仿宋"/>
          <w:color w:val="000000" w:themeColor="text1"/>
          <w:sz w:val="32"/>
          <w14:textFill>
            <w14:solidFill>
              <w14:schemeClr w14:val="tx1"/>
            </w14:solidFill>
          </w14:textFill>
        </w:rPr>
        <w:t>年，</w:t>
      </w:r>
      <w:r>
        <w:rPr>
          <w:rFonts w:hint="eastAsia" w:ascii="仿宋" w:hAnsi="仿宋" w:eastAsia="仿宋"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辽中区蒲东街道办事处</w:t>
      </w:r>
      <w:r>
        <w:rPr>
          <w:rFonts w:hint="eastAsia" w:ascii="仿宋" w:hAnsi="仿宋" w:eastAsia="仿宋"/>
          <w:color w:val="000000" w:themeColor="text1"/>
          <w:sz w:val="32"/>
          <w14:textFill>
            <w14:solidFill>
              <w14:schemeClr w14:val="tx1"/>
            </w14:solidFill>
          </w14:textFill>
        </w:rPr>
        <w:t>以习近平新时代中国特色社会主义思想为指导，全面贯彻党的十九大和十九届二中、三中、四中</w:t>
      </w:r>
      <w:r>
        <w:rPr>
          <w:rFonts w:hint="eastAsia" w:ascii="仿宋" w:hAnsi="仿宋" w:eastAsia="仿宋"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、五中</w:t>
      </w:r>
      <w:r>
        <w:rPr>
          <w:rFonts w:hint="eastAsia" w:ascii="仿宋" w:hAnsi="仿宋" w:eastAsia="仿宋"/>
          <w:color w:val="000000" w:themeColor="text1"/>
          <w:sz w:val="32"/>
          <w14:textFill>
            <w14:solidFill>
              <w14:schemeClr w14:val="tx1"/>
            </w14:solidFill>
          </w14:textFill>
        </w:rPr>
        <w:t>全会精神，深入落实国家和省、市</w:t>
      </w:r>
      <w:r>
        <w:rPr>
          <w:rFonts w:hint="eastAsia" w:ascii="仿宋" w:hAnsi="仿宋" w:eastAsia="仿宋"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、区</w:t>
      </w:r>
      <w:r>
        <w:rPr>
          <w:rFonts w:hint="eastAsia" w:ascii="仿宋" w:hAnsi="仿宋" w:eastAsia="仿宋"/>
          <w:color w:val="000000" w:themeColor="text1"/>
          <w:sz w:val="32"/>
          <w14:textFill>
            <w14:solidFill>
              <w14:schemeClr w14:val="tx1"/>
            </w14:solidFill>
          </w14:textFill>
        </w:rPr>
        <w:t>有关决策部署和新修订《中华人民共和国政府信息公开条例》，紧紧围绕国</w:t>
      </w:r>
      <w:r>
        <w:rPr>
          <w:rFonts w:hint="eastAsia" w:ascii="仿宋" w:hAnsi="仿宋" w:eastAsia="仿宋"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家、</w:t>
      </w:r>
      <w:r>
        <w:rPr>
          <w:rFonts w:hint="eastAsia" w:ascii="仿宋" w:hAnsi="仿宋" w:eastAsia="仿宋"/>
          <w:color w:val="000000" w:themeColor="text1"/>
          <w:sz w:val="32"/>
          <w14:textFill>
            <w14:solidFill>
              <w14:schemeClr w14:val="tx1"/>
            </w14:solidFill>
          </w14:textFill>
        </w:rPr>
        <w:t>省</w:t>
      </w:r>
      <w:r>
        <w:rPr>
          <w:rFonts w:hint="eastAsia" w:ascii="仿宋" w:hAnsi="仿宋" w:eastAsia="仿宋"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、市、区</w:t>
      </w:r>
      <w:r>
        <w:rPr>
          <w:rFonts w:hint="eastAsia" w:ascii="仿宋" w:hAnsi="仿宋" w:eastAsia="仿宋"/>
          <w:color w:val="000000" w:themeColor="text1"/>
          <w:sz w:val="32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" w:hAnsi="仿宋" w:eastAsia="仿宋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" w:hAnsi="仿宋" w:eastAsia="仿宋"/>
          <w:color w:val="000000" w:themeColor="text1"/>
          <w:sz w:val="32"/>
          <w14:textFill>
            <w14:solidFill>
              <w14:schemeClr w14:val="tx1"/>
            </w14:solidFill>
          </w14:textFill>
        </w:rPr>
        <w:t>年政务公开重点工作安排，扎实推进决策、执行、管理、服务、结果</w:t>
      </w:r>
      <w:r>
        <w:rPr>
          <w:rFonts w:hint="eastAsia" w:ascii="仿宋" w:hAnsi="仿宋" w:eastAsia="仿宋"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仿宋" w:hAnsi="仿宋" w:eastAsia="仿宋"/>
          <w:color w:val="000000" w:themeColor="text1"/>
          <w:sz w:val="32"/>
          <w14:textFill>
            <w14:solidFill>
              <w14:schemeClr w14:val="tx1"/>
            </w14:solidFill>
          </w14:textFill>
        </w:rPr>
        <w:t>五公开”，较好地</w:t>
      </w:r>
      <w:r>
        <w:rPr>
          <w:rFonts w:hint="eastAsia" w:ascii="仿宋" w:hAnsi="仿宋" w:eastAsia="仿宋"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完成了</w:t>
      </w:r>
      <w:r>
        <w:rPr>
          <w:rFonts w:hint="eastAsia" w:ascii="仿宋" w:hAnsi="仿宋" w:eastAsia="仿宋"/>
          <w:color w:val="000000" w:themeColor="text1"/>
          <w:sz w:val="32"/>
          <w14:textFill>
            <w14:solidFill>
              <w14:schemeClr w14:val="tx1"/>
            </w14:solidFill>
          </w14:textFill>
        </w:rPr>
        <w:t>信息</w:t>
      </w:r>
      <w:r>
        <w:rPr>
          <w:rFonts w:hint="eastAsia" w:ascii="仿宋" w:hAnsi="仿宋" w:eastAsia="仿宋"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公开工作。</w:t>
      </w:r>
    </w:p>
    <w:p>
      <w:pPr>
        <w:ind w:firstLine="643" w:firstLineChars="200"/>
        <w:jc w:val="both"/>
        <w:rPr>
          <w:rFonts w:hint="eastAsia" w:ascii="楷体" w:hAnsi="楷体" w:eastAsia="楷体" w:cs="楷体"/>
          <w:b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" w:hAnsi="楷体" w:eastAsia="楷体" w:cs="楷体"/>
          <w:b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楷体" w:hAnsi="楷体" w:eastAsia="楷体" w:cs="楷体"/>
          <w:b/>
          <w:bCs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楷体" w:hAnsi="楷体" w:eastAsia="楷体" w:cs="楷体"/>
          <w:b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主动公开情况</w:t>
      </w:r>
    </w:p>
    <w:p>
      <w:pPr>
        <w:widowControl/>
        <w:spacing w:line="360" w:lineRule="auto"/>
        <w:ind w:firstLine="640"/>
        <w:jc w:val="left"/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年，在区委、区政府的正确领导下，蒲东街道党工委、办事处高度重视政府信息公开工作，</w:t>
      </w:r>
      <w:r>
        <w:rPr>
          <w:rFonts w:hint="eastAsia" w:ascii="仿宋" w:hAnsi="仿宋" w:eastAsia="仿宋"/>
          <w:color w:val="000000" w:themeColor="text1"/>
          <w:sz w:val="32"/>
          <w14:textFill>
            <w14:solidFill>
              <w14:schemeClr w14:val="tx1"/>
            </w14:solidFill>
          </w14:textFill>
        </w:rPr>
        <w:t>全面贯彻党的十九大和十九届二中、三中、四中</w:t>
      </w:r>
      <w:r>
        <w:rPr>
          <w:rFonts w:hint="eastAsia" w:ascii="仿宋" w:hAnsi="仿宋" w:eastAsia="仿宋"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、五中</w:t>
      </w:r>
      <w:r>
        <w:rPr>
          <w:rFonts w:hint="eastAsia" w:ascii="仿宋" w:hAnsi="仿宋" w:eastAsia="仿宋"/>
          <w:color w:val="000000" w:themeColor="text1"/>
          <w:sz w:val="32"/>
          <w14:textFill>
            <w14:solidFill>
              <w14:schemeClr w14:val="tx1"/>
            </w14:solidFill>
          </w14:textFill>
        </w:rPr>
        <w:t>全会精神，深入落实国家和省、市</w:t>
      </w:r>
      <w:r>
        <w:rPr>
          <w:rFonts w:hint="eastAsia" w:ascii="仿宋" w:hAnsi="仿宋" w:eastAsia="仿宋"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、区</w:t>
      </w:r>
      <w:r>
        <w:rPr>
          <w:rFonts w:hint="eastAsia" w:ascii="仿宋" w:hAnsi="仿宋" w:eastAsia="仿宋"/>
          <w:color w:val="000000" w:themeColor="text1"/>
          <w:sz w:val="32"/>
          <w14:textFill>
            <w14:solidFill>
              <w14:schemeClr w14:val="tx1"/>
            </w14:solidFill>
          </w14:textFill>
        </w:rPr>
        <w:t>有关决策部署和新修订《中华人民共和国政府信息公开条例》，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深入推进信息公开工作，本着“规范、明了、方便、实用”的原则，坚持把信息公开作为加强党风廉政建设、提高工作效能的重要举措，坚持以信息公开取信于民，突出推进重点领域政府信息公开和政府决策公开，不断创新信息公开载体形式，稳步推进了信息公开工作的扎实有效开展。</w:t>
      </w:r>
    </w:p>
    <w:p>
      <w:pPr>
        <w:ind w:firstLine="643" w:firstLineChars="200"/>
        <w:jc w:val="both"/>
        <w:rPr>
          <w:rFonts w:hint="eastAsia" w:ascii="楷体" w:hAnsi="楷体" w:eastAsia="楷体" w:cs="楷体"/>
          <w:b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" w:hAnsi="楷体" w:eastAsia="楷体" w:cs="楷体"/>
          <w:b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楷体" w:hAnsi="楷体" w:eastAsia="楷体" w:cs="楷体"/>
          <w:b/>
          <w:bCs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楷体" w:hAnsi="楷体" w:eastAsia="楷体" w:cs="楷体"/>
          <w:b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依申请公开情况</w:t>
      </w:r>
    </w:p>
    <w:p>
      <w:pPr>
        <w:widowControl/>
        <w:spacing w:line="360" w:lineRule="auto"/>
        <w:ind w:firstLine="640"/>
        <w:jc w:val="left"/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2020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年，蒲东街道无</w:t>
      </w:r>
      <w:r>
        <w:rPr>
          <w:rFonts w:hint="eastAsia" w:ascii="仿宋_GB2312" w:eastAsia="仿宋_GB2312" w:cs="仿宋"/>
          <w:bCs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依申请公开情况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ind w:firstLine="643" w:firstLineChars="200"/>
        <w:jc w:val="both"/>
        <w:rPr>
          <w:rFonts w:hint="eastAsia" w:ascii="楷体" w:hAnsi="楷体" w:eastAsia="楷体" w:cs="楷体"/>
          <w:b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（三）</w:t>
      </w:r>
      <w:r>
        <w:rPr>
          <w:rFonts w:hint="eastAsia" w:ascii="楷体" w:hAnsi="楷体" w:eastAsia="楷体" w:cs="楷体"/>
          <w:b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政府信息管理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建立健全政府信息管理动态调整机制，做好规范性文件的动态管理，在制度层面使政府信息公开管理动态调整工作常态化。对本街道不予公开的政府信息进行定期评估审查，在履行行政管理职能过程中形成的讨论记录、过程稿、请示报告等过程性信息以及行政执法案卷信息。法律、法规、规章另有规定的除外。</w:t>
      </w:r>
    </w:p>
    <w:p>
      <w:pPr>
        <w:ind w:firstLine="643" w:firstLineChars="200"/>
        <w:jc w:val="both"/>
        <w:rPr>
          <w:rFonts w:hint="eastAsia" w:ascii="楷体" w:hAnsi="楷体" w:eastAsia="楷体" w:cs="楷体"/>
          <w:b/>
          <w:bCs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（四）平台建设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微信公众号“幸福蒲东”立足蒲东街道工作实际，采取群众喜闻乐见的形式，讲述蒲东故事，做好街道宣传工作，同时街道将定期发送最新的服务资讯、展现街道各类丰富多彩的活动、收集居民反映来的各类问题，进一步提升街道全方位的服务功能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每天检查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没有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发现问题。</w:t>
      </w:r>
    </w:p>
    <w:p>
      <w:pPr>
        <w:ind w:firstLine="643" w:firstLineChars="200"/>
        <w:jc w:val="both"/>
        <w:rPr>
          <w:rFonts w:hint="eastAsia" w:ascii="楷体" w:hAnsi="楷体" w:eastAsia="楷体" w:cs="楷体"/>
          <w:b/>
          <w:bCs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（五）监督保障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无。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Style w:val="7"/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二、主动公开政府信息情况</w:t>
      </w:r>
    </w:p>
    <w:tbl>
      <w:tblPr>
        <w:tblStyle w:val="5"/>
        <w:tblW w:w="88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5"/>
        <w:gridCol w:w="1540"/>
        <w:gridCol w:w="1441"/>
        <w:gridCol w:w="2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6" w:type="dxa"/>
            <w:gridSpan w:val="4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4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本年新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制作数量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本年新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公开数量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对外公开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总</w:t>
            </w: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3245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规章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Times New Roman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Times New Roman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Times New Roman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3245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规范性文件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Times New Roman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Times New Roman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Times New Roman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6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4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上一年项目数量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本年增/减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3245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行政许可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Times New Roman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  <w:jc w:val="center"/>
        </w:trPr>
        <w:tc>
          <w:tcPr>
            <w:tcW w:w="3245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其他对外管理服务事项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6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4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上一年项目数量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本年增/减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  <w:jc w:val="center"/>
        </w:trPr>
        <w:tc>
          <w:tcPr>
            <w:tcW w:w="3245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行政处罚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  <w:jc w:val="center"/>
        </w:trPr>
        <w:tc>
          <w:tcPr>
            <w:tcW w:w="3245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行政强制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6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4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298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上一年项目数量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本年增/减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324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行政事业性收费</w:t>
            </w:r>
          </w:p>
        </w:tc>
        <w:tc>
          <w:tcPr>
            <w:tcW w:w="298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6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第二十条第（九）项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4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298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采购项目数量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采购总金额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  <w:jc w:val="center"/>
        </w:trPr>
        <w:tc>
          <w:tcPr>
            <w:tcW w:w="324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政府集中采购</w:t>
            </w:r>
          </w:p>
        </w:tc>
        <w:tc>
          <w:tcPr>
            <w:tcW w:w="298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spacing w:line="560" w:lineRule="exact"/>
        <w:ind w:firstLine="640" w:firstLineChars="200"/>
        <w:jc w:val="left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三、收到和处理政府信息公开申请情况</w:t>
      </w:r>
    </w:p>
    <w:tbl>
      <w:tblPr>
        <w:tblStyle w:val="5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850"/>
        <w:gridCol w:w="2835"/>
        <w:gridCol w:w="709"/>
        <w:gridCol w:w="850"/>
        <w:gridCol w:w="709"/>
        <w:gridCol w:w="851"/>
        <w:gridCol w:w="850"/>
        <w:gridCol w:w="567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4219" w:type="dxa"/>
            <w:gridSpan w:val="3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（本列数据的勾稽关系为：</w:t>
            </w: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第一项加第二项之和，等于第三项加第四项之和</w:t>
            </w: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5245" w:type="dxa"/>
            <w:gridSpan w:val="7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  <w:gridSpan w:val="3"/>
            <w:vMerge w:val="continue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自然人</w:t>
            </w:r>
          </w:p>
        </w:tc>
        <w:tc>
          <w:tcPr>
            <w:tcW w:w="3827" w:type="dxa"/>
            <w:gridSpan w:val="5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法人或其他组织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9" w:hRule="atLeast"/>
        </w:trPr>
        <w:tc>
          <w:tcPr>
            <w:tcW w:w="4219" w:type="dxa"/>
            <w:gridSpan w:val="3"/>
            <w:vMerge w:val="continue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商业企业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科研机构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社会公益组织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法律服务机构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  <w:tc>
          <w:tcPr>
            <w:tcW w:w="709" w:type="dxa"/>
            <w:vMerge w:val="continue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4219" w:type="dxa"/>
            <w:gridSpan w:val="3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一、本年新收到政府信息公开申请数量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4219" w:type="dxa"/>
            <w:gridSpan w:val="3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二、上年结转政府信息公开数量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534" w:type="dxa"/>
            <w:vMerge w:val="restart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三、本年度办理结果</w:t>
            </w:r>
          </w:p>
        </w:tc>
        <w:tc>
          <w:tcPr>
            <w:tcW w:w="3685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（一）予以公开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85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（二）部分公开（区分处理的，只计这一情形，不计其他情形）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Merge w:val="restart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（三）不予公开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1.属于国家秘密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2.其他法律行政法规禁止公开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3.危机“三安全一稳定”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4.保护第三方合法权益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5.属于三类内部事务信息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6.属于四类过程性信息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7.属于行政法案卷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8.属于行政查询事项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Merge w:val="restart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（四）无法提供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1.本机关不掌握相关政府信息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534" w:type="dxa"/>
            <w:vMerge w:val="continue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Merge w:val="continue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2.没有现成信息需另行制作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534" w:type="dxa"/>
            <w:vMerge w:val="continue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Merge w:val="continue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3.补正后申请内容仍不明确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534" w:type="dxa"/>
            <w:vMerge w:val="continue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Merge w:val="restart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（五）不予处理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1.信访举报投诉类申请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534" w:type="dxa"/>
            <w:vMerge w:val="continue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Merge w:val="continue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2.重复申请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534" w:type="dxa"/>
            <w:vMerge w:val="continue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Merge w:val="continue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3.要求提供公开出版物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534" w:type="dxa"/>
            <w:vMerge w:val="continue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Merge w:val="continue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4.无正当理由大量反复申请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534" w:type="dxa"/>
            <w:vMerge w:val="continue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Merge w:val="continue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5.要求行政机关确认或重新出具已获取信息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534" w:type="dxa"/>
            <w:vMerge w:val="continue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85" w:type="dxa"/>
            <w:gridSpan w:val="2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（六）其他处理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534" w:type="dxa"/>
            <w:vMerge w:val="continue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85" w:type="dxa"/>
            <w:gridSpan w:val="2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（七）总计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4219" w:type="dxa"/>
            <w:gridSpan w:val="3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四、结转下年度继续办理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spacing w:line="560" w:lineRule="exact"/>
        <w:ind w:firstLine="640" w:firstLineChars="200"/>
        <w:jc w:val="left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四、政府信息公开行政复议、行政诉讼情况</w:t>
      </w:r>
    </w:p>
    <w:tbl>
      <w:tblPr>
        <w:tblStyle w:val="5"/>
        <w:tblW w:w="93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3120" w:type="dxa"/>
            <w:gridSpan w:val="5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行政复议</w:t>
            </w:r>
          </w:p>
        </w:tc>
        <w:tc>
          <w:tcPr>
            <w:tcW w:w="6240" w:type="dxa"/>
            <w:gridSpan w:val="10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624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结果维持</w:t>
            </w:r>
          </w:p>
        </w:tc>
        <w:tc>
          <w:tcPr>
            <w:tcW w:w="624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结果纠正</w:t>
            </w:r>
          </w:p>
        </w:tc>
        <w:tc>
          <w:tcPr>
            <w:tcW w:w="624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其他结果</w:t>
            </w:r>
          </w:p>
        </w:tc>
        <w:tc>
          <w:tcPr>
            <w:tcW w:w="624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尚未审结</w:t>
            </w:r>
          </w:p>
        </w:tc>
        <w:tc>
          <w:tcPr>
            <w:tcW w:w="624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  <w:tc>
          <w:tcPr>
            <w:tcW w:w="3120" w:type="dxa"/>
            <w:gridSpan w:val="5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未经复议直接起诉</w:t>
            </w:r>
          </w:p>
        </w:tc>
        <w:tc>
          <w:tcPr>
            <w:tcW w:w="3120" w:type="dxa"/>
            <w:gridSpan w:val="5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5" w:hRule="atLeast"/>
        </w:trPr>
        <w:tc>
          <w:tcPr>
            <w:tcW w:w="624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结果维持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结果纠正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其他结果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尚未审结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结果维持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结果纠正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其他结果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尚未审结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6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pStyle w:val="4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477" w:leftChars="0" w:right="0" w:firstLine="0" w:firstLineChars="0"/>
        <w:rPr>
          <w:rStyle w:val="7"/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存在的主要问题及改进情况</w:t>
      </w:r>
    </w:p>
    <w:p>
      <w:pPr>
        <w:widowControl/>
        <w:spacing w:line="432" w:lineRule="auto"/>
        <w:ind w:firstLine="640" w:firstLineChars="200"/>
        <w:rPr>
          <w:rFonts w:hint="eastAsia" w:ascii="仿宋_GB2312" w:hAnsi="Arial" w:eastAsia="仿宋_GB2312" w:cs="Arial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由于工作人员变动大，业务水平需进一步加强。</w:t>
      </w:r>
      <w:r>
        <w:rPr>
          <w:rFonts w:hint="eastAsia" w:ascii="仿宋_GB2312" w:hAnsi="Arial" w:eastAsia="仿宋_GB2312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下一步，</w:t>
      </w:r>
      <w:r>
        <w:rPr>
          <w:rFonts w:hint="eastAsia" w:ascii="仿宋_GB2312" w:hAnsi="Arial" w:eastAsia="仿宋_GB2312" w:cs="Arial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蒲东街道</w:t>
      </w:r>
      <w:r>
        <w:rPr>
          <w:rFonts w:hint="eastAsia" w:ascii="仿宋_GB2312" w:hAnsi="Arial" w:eastAsia="仿宋_GB2312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将认真按照《中华人民共和国政府信息公开条例》和省、市</w:t>
      </w:r>
      <w:r>
        <w:rPr>
          <w:rFonts w:hint="eastAsia" w:ascii="仿宋_GB2312" w:hAnsi="Arial" w:eastAsia="仿宋_GB2312" w:cs="Arial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、区</w:t>
      </w:r>
      <w:r>
        <w:rPr>
          <w:rFonts w:hint="eastAsia" w:ascii="仿宋_GB2312" w:hAnsi="Arial" w:eastAsia="仿宋_GB2312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有关政府信息依申请公开工作要求，深化信息公开，做好主动公开和依申请公开工作，充分保障人民群众知情权、参与权和监督权。</w:t>
      </w:r>
      <w:r>
        <w:rPr>
          <w:rFonts w:hint="eastAsia" w:ascii="仿宋_GB2312" w:hAnsi="Arial" w:eastAsia="仿宋_GB2312" w:cs="Arial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同时加强政务信息公开工作人员的业务</w:t>
      </w:r>
      <w:r>
        <w:rPr>
          <w:rFonts w:hint="eastAsia" w:ascii="仿宋_GB2312" w:hAnsi="Arial" w:eastAsia="仿宋_GB2312" w:cs="Arial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学习</w:t>
      </w:r>
      <w:r>
        <w:rPr>
          <w:rFonts w:hint="eastAsia" w:ascii="仿宋_GB2312" w:hAnsi="Arial" w:eastAsia="仿宋_GB2312" w:cs="Arial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，提高工作能力和业务水平。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      </w:t>
      </w:r>
      <w:r>
        <w:rPr>
          <w:rStyle w:val="7"/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 xml:space="preserve"> 六、其他需要报告的事项</w:t>
      </w:r>
    </w:p>
    <w:p>
      <w:pPr>
        <w:ind w:left="0" w:leftChars="0" w:firstLine="64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无。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ind w:firstLine="465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bookmarkEnd w:id="0"/>
    <w:sectPr>
      <w:footerReference r:id="rId3" w:type="default"/>
      <w:pgSz w:w="11906" w:h="16838"/>
      <w:pgMar w:top="1440" w:right="1803" w:bottom="1440" w:left="1803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6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Ll1uVLQAAAABQEAAA8AAAAAAAAAAQAgAAAAIgAAAGRycy9kb3ducmV2&#10;LnhtbFBLAQIUABQAAAAIAIdO4kBXj8o3ywEAAJoDAAAOAAAAAAAAAAEAIAAAAB8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DFD504C"/>
    <w:multiLevelType w:val="singleLevel"/>
    <w:tmpl w:val="DDFD504C"/>
    <w:lvl w:ilvl="0" w:tentative="0">
      <w:start w:val="5"/>
      <w:numFmt w:val="chineseCounting"/>
      <w:suff w:val="nothing"/>
      <w:lvlText w:val="%1、"/>
      <w:lvlJc w:val="left"/>
      <w:pPr>
        <w:ind w:left="477" w:firstLine="0"/>
      </w:pPr>
      <w:rPr>
        <w:rFonts w:hint="eastAsia"/>
      </w:rPr>
    </w:lvl>
  </w:abstractNum>
  <w:abstractNum w:abstractNumId="1">
    <w:nsid w:val="27587300"/>
    <w:multiLevelType w:val="singleLevel"/>
    <w:tmpl w:val="2758730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EE73C8"/>
    <w:rsid w:val="014B1250"/>
    <w:rsid w:val="029E0161"/>
    <w:rsid w:val="033E5BAB"/>
    <w:rsid w:val="04161EB0"/>
    <w:rsid w:val="07E70905"/>
    <w:rsid w:val="09F9405D"/>
    <w:rsid w:val="0A6839A9"/>
    <w:rsid w:val="0C7176BA"/>
    <w:rsid w:val="0CFA748D"/>
    <w:rsid w:val="0D830B71"/>
    <w:rsid w:val="0E1F2D48"/>
    <w:rsid w:val="0EBA13D9"/>
    <w:rsid w:val="147F579B"/>
    <w:rsid w:val="14BB25E5"/>
    <w:rsid w:val="15A76D04"/>
    <w:rsid w:val="15D21EA1"/>
    <w:rsid w:val="15F82C40"/>
    <w:rsid w:val="17314DD3"/>
    <w:rsid w:val="18FC5ED1"/>
    <w:rsid w:val="19BE38D9"/>
    <w:rsid w:val="1BA82913"/>
    <w:rsid w:val="1BE87955"/>
    <w:rsid w:val="1C8A062D"/>
    <w:rsid w:val="1D4B32EF"/>
    <w:rsid w:val="1F0D39D6"/>
    <w:rsid w:val="1FCD634F"/>
    <w:rsid w:val="21CB4701"/>
    <w:rsid w:val="229261E5"/>
    <w:rsid w:val="22D320AF"/>
    <w:rsid w:val="25F43A87"/>
    <w:rsid w:val="25FD31D6"/>
    <w:rsid w:val="282B3D0F"/>
    <w:rsid w:val="29683D66"/>
    <w:rsid w:val="2A761E2F"/>
    <w:rsid w:val="2A7A6047"/>
    <w:rsid w:val="2B8F69F7"/>
    <w:rsid w:val="2DF133D2"/>
    <w:rsid w:val="2EEC4C16"/>
    <w:rsid w:val="2F0F1E25"/>
    <w:rsid w:val="2F481FD4"/>
    <w:rsid w:val="30B2634C"/>
    <w:rsid w:val="316B3597"/>
    <w:rsid w:val="31806B34"/>
    <w:rsid w:val="32545DAB"/>
    <w:rsid w:val="32A16B3C"/>
    <w:rsid w:val="32DE2252"/>
    <w:rsid w:val="33F343F6"/>
    <w:rsid w:val="38DF19BF"/>
    <w:rsid w:val="395B432D"/>
    <w:rsid w:val="3B3674BC"/>
    <w:rsid w:val="3BE543A1"/>
    <w:rsid w:val="3CA07652"/>
    <w:rsid w:val="3DEB7883"/>
    <w:rsid w:val="3F5E381C"/>
    <w:rsid w:val="3FBC0E8B"/>
    <w:rsid w:val="400E1956"/>
    <w:rsid w:val="427C0192"/>
    <w:rsid w:val="42DB6976"/>
    <w:rsid w:val="42EE2C3B"/>
    <w:rsid w:val="433D2A41"/>
    <w:rsid w:val="433D6738"/>
    <w:rsid w:val="43696363"/>
    <w:rsid w:val="43AA3694"/>
    <w:rsid w:val="474B729F"/>
    <w:rsid w:val="47E33123"/>
    <w:rsid w:val="49A35E87"/>
    <w:rsid w:val="4A7B5C28"/>
    <w:rsid w:val="4BB3098E"/>
    <w:rsid w:val="4BEF4F92"/>
    <w:rsid w:val="4CEF6DE8"/>
    <w:rsid w:val="4EAC79F8"/>
    <w:rsid w:val="4F5D27EE"/>
    <w:rsid w:val="4F8A361B"/>
    <w:rsid w:val="4F8F1DB8"/>
    <w:rsid w:val="50C6169F"/>
    <w:rsid w:val="5100679F"/>
    <w:rsid w:val="51D13E9B"/>
    <w:rsid w:val="521E4414"/>
    <w:rsid w:val="529266B8"/>
    <w:rsid w:val="52DE3EF9"/>
    <w:rsid w:val="533F45F5"/>
    <w:rsid w:val="54DF64E8"/>
    <w:rsid w:val="5502285E"/>
    <w:rsid w:val="584C4D30"/>
    <w:rsid w:val="58790609"/>
    <w:rsid w:val="588E0A41"/>
    <w:rsid w:val="5AD86506"/>
    <w:rsid w:val="5B816D93"/>
    <w:rsid w:val="5C0F4855"/>
    <w:rsid w:val="5CAA23E0"/>
    <w:rsid w:val="5F6856B2"/>
    <w:rsid w:val="5FA42104"/>
    <w:rsid w:val="60A77C66"/>
    <w:rsid w:val="61B11C56"/>
    <w:rsid w:val="63F82F43"/>
    <w:rsid w:val="64E61F94"/>
    <w:rsid w:val="657176ED"/>
    <w:rsid w:val="659F1742"/>
    <w:rsid w:val="65BC1514"/>
    <w:rsid w:val="65BF0587"/>
    <w:rsid w:val="665D2FF5"/>
    <w:rsid w:val="668163AD"/>
    <w:rsid w:val="668A7189"/>
    <w:rsid w:val="670F049D"/>
    <w:rsid w:val="68144814"/>
    <w:rsid w:val="68CA49E3"/>
    <w:rsid w:val="69080570"/>
    <w:rsid w:val="690E1BB2"/>
    <w:rsid w:val="6B8E72D8"/>
    <w:rsid w:val="6BA23FF5"/>
    <w:rsid w:val="6C6846AE"/>
    <w:rsid w:val="6DCA7872"/>
    <w:rsid w:val="6DFB7785"/>
    <w:rsid w:val="713D5F70"/>
    <w:rsid w:val="72151FCE"/>
    <w:rsid w:val="75DD52A0"/>
    <w:rsid w:val="78F309B5"/>
    <w:rsid w:val="7A4C7970"/>
    <w:rsid w:val="7B667472"/>
    <w:rsid w:val="7CB91B00"/>
    <w:rsid w:val="7D386169"/>
    <w:rsid w:val="7D3B315E"/>
    <w:rsid w:val="7DBE3E2D"/>
    <w:rsid w:val="7EA345E9"/>
    <w:rsid w:val="7F1E15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/>
    </w:rPr>
  </w:style>
  <w:style w:type="character" w:default="1" w:styleId="6">
    <w:name w:val="Default Paragraph Font"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Emphasis"/>
    <w:basedOn w:val="6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Normal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2021-01-07T03:19:00Z</dcterms:created>
  <dc:creator>李健</dc:creator>
  <cp:lastModifiedBy>程咬金</cp:lastModifiedBy>
  <cp:lastPrinted>2021-01-14T07:46:00Z</cp:lastPrinted>
  <dcterms:modified xsi:type="dcterms:W3CDTF">2021-02-03T02:02:27Z</dcterms:modified>
  <dc:title>关于做好2019年度政府信息公开工作报告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